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D3E4E" w14:textId="427B7876" w:rsidR="00341342" w:rsidRPr="00CE6A3A" w:rsidRDefault="004949B7" w:rsidP="00B8241B">
      <w:pPr>
        <w:snapToGrid w:val="0"/>
        <w:spacing w:before="120" w:after="120" w:line="240" w:lineRule="auto"/>
        <w:jc w:val="center"/>
        <w:rPr>
          <w:b/>
          <w:color w:val="000000" w:themeColor="text1"/>
          <w:sz w:val="26"/>
          <w:szCs w:val="26"/>
          <w:lang w:val="en-US"/>
        </w:rPr>
      </w:pPr>
      <w:r w:rsidRPr="00CE6A3A">
        <w:rPr>
          <w:b/>
          <w:color w:val="000000" w:themeColor="text1"/>
          <w:sz w:val="26"/>
          <w:szCs w:val="26"/>
        </w:rPr>
        <w:t>BẢN SO SÁNH</w:t>
      </w:r>
      <w:r w:rsidR="00922CB6" w:rsidRPr="00CE6A3A">
        <w:rPr>
          <w:b/>
          <w:color w:val="000000" w:themeColor="text1"/>
          <w:sz w:val="26"/>
          <w:szCs w:val="26"/>
          <w:lang w:val="en-US"/>
        </w:rPr>
        <w:t>, THUYẾT MINH</w:t>
      </w:r>
      <w:r w:rsidRPr="00CE6A3A">
        <w:rPr>
          <w:b/>
          <w:color w:val="000000" w:themeColor="text1"/>
          <w:sz w:val="26"/>
          <w:szCs w:val="26"/>
        </w:rPr>
        <w:t xml:space="preserve"> </w:t>
      </w:r>
      <w:r w:rsidR="00876113" w:rsidRPr="00CE6A3A">
        <w:rPr>
          <w:b/>
          <w:color w:val="000000" w:themeColor="text1"/>
          <w:sz w:val="26"/>
          <w:szCs w:val="26"/>
        </w:rPr>
        <w:t xml:space="preserve">DỰ THẢO </w:t>
      </w:r>
      <w:r w:rsidR="00CD4F36" w:rsidRPr="00CE6A3A">
        <w:rPr>
          <w:b/>
          <w:color w:val="000000" w:themeColor="text1"/>
          <w:sz w:val="26"/>
          <w:szCs w:val="26"/>
        </w:rPr>
        <w:br/>
        <w:t xml:space="preserve">Quy chuẩn kỹ thuật quốc gia về </w:t>
      </w:r>
      <w:r w:rsidR="00BD575C" w:rsidRPr="00CE6A3A">
        <w:rPr>
          <w:b/>
          <w:color w:val="000000" w:themeColor="text1"/>
          <w:sz w:val="26"/>
          <w:szCs w:val="26"/>
          <w:lang w:val="en-US"/>
        </w:rPr>
        <w:t xml:space="preserve">an toàn sản phẩm vật liệu nổ công nghiệp - thuốc nổ </w:t>
      </w:r>
      <w:r w:rsidR="00FB740A">
        <w:rPr>
          <w:b/>
          <w:color w:val="000000" w:themeColor="text1"/>
          <w:sz w:val="26"/>
          <w:szCs w:val="26"/>
          <w:lang w:val="en-US"/>
        </w:rPr>
        <w:t>hỗn hợp của các loại thuốc nổ mạnh đơn chất</w:t>
      </w:r>
    </w:p>
    <w:tbl>
      <w:tblPr>
        <w:tblStyle w:val="TableGrid"/>
        <w:tblW w:w="14488" w:type="dxa"/>
        <w:tblInd w:w="108" w:type="dxa"/>
        <w:tblLayout w:type="fixed"/>
        <w:tblLook w:val="04A0" w:firstRow="1" w:lastRow="0" w:firstColumn="1" w:lastColumn="0" w:noHBand="0" w:noVBand="1"/>
      </w:tblPr>
      <w:tblGrid>
        <w:gridCol w:w="3431"/>
        <w:gridCol w:w="5812"/>
        <w:gridCol w:w="5245"/>
      </w:tblGrid>
      <w:tr w:rsidR="00CD4F36" w:rsidRPr="00CE6A3A" w14:paraId="291AAB73" w14:textId="77777777" w:rsidTr="00E86916">
        <w:trPr>
          <w:tblHeader/>
        </w:trPr>
        <w:tc>
          <w:tcPr>
            <w:tcW w:w="3431" w:type="dxa"/>
            <w:vAlign w:val="center"/>
          </w:tcPr>
          <w:p w14:paraId="6D8C211C" w14:textId="4B3E0041" w:rsidR="00CD4F36" w:rsidRPr="00F965AC" w:rsidRDefault="004A7820" w:rsidP="005603BC">
            <w:pPr>
              <w:snapToGrid w:val="0"/>
              <w:spacing w:before="120" w:after="120"/>
              <w:jc w:val="center"/>
              <w:rPr>
                <w:rFonts w:asciiTheme="majorHAnsi" w:hAnsiTheme="majorHAnsi" w:cstheme="majorHAnsi"/>
                <w:b/>
                <w:color w:val="000000" w:themeColor="text1"/>
                <w:sz w:val="26"/>
                <w:szCs w:val="26"/>
                <w:lang w:val="en-US"/>
              </w:rPr>
            </w:pPr>
            <w:r w:rsidRPr="00F965AC">
              <w:rPr>
                <w:rFonts w:asciiTheme="majorHAnsi" w:hAnsiTheme="majorHAnsi" w:cstheme="majorHAnsi"/>
                <w:b/>
                <w:color w:val="000000" w:themeColor="text1"/>
                <w:sz w:val="26"/>
                <w:szCs w:val="26"/>
                <w:lang w:val="en-US"/>
              </w:rPr>
              <w:t>Quy phạm pháp luật hiện hành</w:t>
            </w:r>
          </w:p>
        </w:tc>
        <w:tc>
          <w:tcPr>
            <w:tcW w:w="5812" w:type="dxa"/>
          </w:tcPr>
          <w:p w14:paraId="75AF692A" w14:textId="78181D1D" w:rsidR="00CD4F36" w:rsidRPr="00F965AC" w:rsidRDefault="004912EB" w:rsidP="005603BC">
            <w:pPr>
              <w:snapToGrid w:val="0"/>
              <w:spacing w:before="120" w:after="120"/>
              <w:jc w:val="center"/>
              <w:rPr>
                <w:rFonts w:asciiTheme="majorHAnsi" w:hAnsiTheme="majorHAnsi" w:cstheme="majorHAnsi"/>
                <w:b/>
                <w:color w:val="000000" w:themeColor="text1"/>
                <w:sz w:val="26"/>
                <w:szCs w:val="26"/>
                <w:lang w:val="en-US"/>
              </w:rPr>
            </w:pPr>
            <w:r w:rsidRPr="00F965AC">
              <w:rPr>
                <w:rFonts w:asciiTheme="majorHAnsi" w:hAnsiTheme="majorHAnsi" w:cstheme="majorHAnsi"/>
                <w:b/>
                <w:color w:val="000000" w:themeColor="text1"/>
                <w:sz w:val="26"/>
                <w:szCs w:val="26"/>
                <w:lang w:val="en-US"/>
              </w:rPr>
              <w:t>Dự thảo Quy chuẩn</w:t>
            </w:r>
          </w:p>
        </w:tc>
        <w:tc>
          <w:tcPr>
            <w:tcW w:w="5245" w:type="dxa"/>
            <w:vAlign w:val="center"/>
          </w:tcPr>
          <w:p w14:paraId="0F32C0C9" w14:textId="73E3653A" w:rsidR="00CD4F36" w:rsidRPr="00F965AC" w:rsidRDefault="00CD4F36" w:rsidP="005603BC">
            <w:pPr>
              <w:snapToGrid w:val="0"/>
              <w:spacing w:before="120" w:after="120"/>
              <w:jc w:val="center"/>
              <w:rPr>
                <w:rFonts w:asciiTheme="majorHAnsi" w:hAnsiTheme="majorHAnsi" w:cstheme="majorHAnsi"/>
                <w:b/>
                <w:color w:val="000000" w:themeColor="text1"/>
                <w:sz w:val="26"/>
                <w:szCs w:val="26"/>
                <w:lang w:val="en-US"/>
              </w:rPr>
            </w:pPr>
            <w:r w:rsidRPr="00F965AC">
              <w:rPr>
                <w:rFonts w:asciiTheme="majorHAnsi" w:hAnsiTheme="majorHAnsi" w:cstheme="majorHAnsi"/>
                <w:b/>
                <w:color w:val="000000" w:themeColor="text1"/>
                <w:sz w:val="26"/>
                <w:szCs w:val="26"/>
                <w:lang w:val="en-US"/>
              </w:rPr>
              <w:t>Thuyết minh</w:t>
            </w:r>
          </w:p>
        </w:tc>
      </w:tr>
      <w:tr w:rsidR="00EC3066" w:rsidRPr="00CE6A3A" w14:paraId="2AB24811" w14:textId="77777777" w:rsidTr="00E86916">
        <w:tc>
          <w:tcPr>
            <w:tcW w:w="3431" w:type="dxa"/>
          </w:tcPr>
          <w:p w14:paraId="312E26D6" w14:textId="18740EA7" w:rsidR="00EC3066" w:rsidRPr="00F965AC" w:rsidRDefault="00EC3066" w:rsidP="00EC3066">
            <w:pPr>
              <w:widowControl w:val="0"/>
              <w:shd w:val="clear" w:color="auto" w:fill="FFFFFF"/>
              <w:jc w:val="both"/>
              <w:rPr>
                <w:rFonts w:asciiTheme="majorHAnsi" w:hAnsiTheme="majorHAnsi" w:cstheme="majorHAnsi"/>
                <w:sz w:val="26"/>
                <w:szCs w:val="26"/>
                <w:lang w:val="en-US"/>
              </w:rPr>
            </w:pPr>
          </w:p>
        </w:tc>
        <w:tc>
          <w:tcPr>
            <w:tcW w:w="5812" w:type="dxa"/>
          </w:tcPr>
          <w:p w14:paraId="3F109D05" w14:textId="77777777" w:rsidR="00725AE9" w:rsidRPr="00F965AC" w:rsidRDefault="00725AE9" w:rsidP="00725AE9">
            <w:pPr>
              <w:widowControl w:val="0"/>
              <w:spacing w:before="60" w:after="60" w:line="320" w:lineRule="exact"/>
              <w:jc w:val="both"/>
              <w:rPr>
                <w:rFonts w:asciiTheme="majorHAnsi" w:hAnsiTheme="majorHAnsi" w:cstheme="majorHAnsi"/>
                <w:b/>
                <w:snapToGrid w:val="0"/>
                <w:sz w:val="26"/>
                <w:szCs w:val="26"/>
              </w:rPr>
            </w:pPr>
            <w:r w:rsidRPr="00F965AC">
              <w:rPr>
                <w:rFonts w:asciiTheme="majorHAnsi" w:hAnsiTheme="majorHAnsi" w:cstheme="majorHAnsi"/>
                <w:b/>
                <w:snapToGrid w:val="0"/>
                <w:sz w:val="26"/>
                <w:szCs w:val="26"/>
              </w:rPr>
              <w:t>1. Phạm vi điều chỉnh</w:t>
            </w:r>
          </w:p>
          <w:p w14:paraId="0AA6A992" w14:textId="7B64ABDE" w:rsidR="00EC3066" w:rsidRPr="00F965AC" w:rsidRDefault="00725AE9" w:rsidP="00725AE9">
            <w:pPr>
              <w:snapToGrid w:val="0"/>
              <w:jc w:val="both"/>
              <w:rPr>
                <w:rFonts w:asciiTheme="majorHAnsi" w:hAnsiTheme="majorHAnsi" w:cstheme="majorHAnsi"/>
                <w:bCs/>
                <w:color w:val="000000" w:themeColor="text1"/>
                <w:sz w:val="26"/>
                <w:szCs w:val="26"/>
              </w:rPr>
            </w:pPr>
            <w:r w:rsidRPr="00F965AC">
              <w:rPr>
                <w:rFonts w:asciiTheme="majorHAnsi" w:hAnsiTheme="majorHAnsi" w:cstheme="majorHAnsi"/>
                <w:snapToGrid w:val="0"/>
                <w:sz w:val="26"/>
                <w:szCs w:val="26"/>
              </w:rPr>
              <w:t xml:space="preserve">Quy chuẩn kỹ thuật này quy định chỉ tiêu kỹ thuật, phương pháp thử và quy định quản lý đối với </w:t>
            </w:r>
            <w:r w:rsidRPr="00F965AC">
              <w:rPr>
                <w:rFonts w:asciiTheme="majorHAnsi" w:hAnsiTheme="majorHAnsi" w:cstheme="majorHAnsi"/>
                <w:sz w:val="26"/>
                <w:szCs w:val="26"/>
              </w:rPr>
              <w:t>thuốc nổ hỗn hợp của các loại thuốc nổ mạnh đơn chất</w:t>
            </w:r>
            <w:r w:rsidRPr="00F965AC">
              <w:rPr>
                <w:rFonts w:asciiTheme="majorHAnsi" w:hAnsiTheme="majorHAnsi" w:cstheme="majorHAnsi"/>
                <w:color w:val="FF0000"/>
                <w:sz w:val="26"/>
                <w:szCs w:val="26"/>
              </w:rPr>
              <w:t>.</w:t>
            </w:r>
          </w:p>
        </w:tc>
        <w:tc>
          <w:tcPr>
            <w:tcW w:w="5245" w:type="dxa"/>
          </w:tcPr>
          <w:p w14:paraId="52949F5B" w14:textId="5CF10A93" w:rsidR="00EC3066" w:rsidRPr="00F965AC" w:rsidRDefault="00FA1594" w:rsidP="00EC3066">
            <w:pPr>
              <w:snapToGrid w:val="0"/>
              <w:jc w:val="both"/>
              <w:rPr>
                <w:rFonts w:asciiTheme="majorHAnsi" w:hAnsiTheme="majorHAnsi" w:cstheme="majorHAnsi"/>
                <w:bCs/>
                <w:sz w:val="26"/>
                <w:szCs w:val="26"/>
                <w:lang w:val="en-US" w:eastAsia="vi-VN"/>
              </w:rPr>
            </w:pPr>
            <w:r>
              <w:rPr>
                <w:rFonts w:asciiTheme="majorHAnsi" w:hAnsiTheme="majorHAnsi" w:cstheme="majorHAnsi"/>
                <w:bCs/>
                <w:sz w:val="26"/>
                <w:szCs w:val="26"/>
                <w:lang w:val="en-US" w:eastAsia="vi-VN"/>
              </w:rPr>
              <w:t>Quy định phạm vi điều chỉnh của QCVN</w:t>
            </w:r>
          </w:p>
        </w:tc>
      </w:tr>
      <w:tr w:rsidR="0002530E" w:rsidRPr="00CE6A3A" w14:paraId="30AE9BF6" w14:textId="77777777" w:rsidTr="00E86916">
        <w:trPr>
          <w:trHeight w:val="125"/>
        </w:trPr>
        <w:tc>
          <w:tcPr>
            <w:tcW w:w="3431" w:type="dxa"/>
          </w:tcPr>
          <w:p w14:paraId="53CC16ED" w14:textId="3762D5D7" w:rsidR="0002530E" w:rsidRPr="00623736" w:rsidRDefault="0002530E" w:rsidP="0002530E">
            <w:pPr>
              <w:snapToGrid w:val="0"/>
              <w:jc w:val="both"/>
              <w:rPr>
                <w:rFonts w:asciiTheme="majorHAnsi" w:hAnsiTheme="majorHAnsi" w:cstheme="majorHAnsi"/>
                <w:bCs/>
                <w:sz w:val="26"/>
                <w:szCs w:val="26"/>
                <w:lang w:val="en-US"/>
              </w:rPr>
            </w:pPr>
          </w:p>
        </w:tc>
        <w:tc>
          <w:tcPr>
            <w:tcW w:w="5812" w:type="dxa"/>
          </w:tcPr>
          <w:p w14:paraId="0C071C13" w14:textId="77777777" w:rsidR="0002530E" w:rsidRPr="00F965AC" w:rsidRDefault="0002530E" w:rsidP="0002530E">
            <w:pPr>
              <w:widowControl w:val="0"/>
              <w:spacing w:before="60" w:after="60" w:line="320" w:lineRule="exact"/>
              <w:jc w:val="both"/>
              <w:rPr>
                <w:rFonts w:asciiTheme="majorHAnsi" w:hAnsiTheme="majorHAnsi" w:cstheme="majorHAnsi"/>
                <w:b/>
                <w:snapToGrid w:val="0"/>
                <w:sz w:val="26"/>
                <w:szCs w:val="26"/>
              </w:rPr>
            </w:pPr>
            <w:r w:rsidRPr="00F965AC">
              <w:rPr>
                <w:rFonts w:asciiTheme="majorHAnsi" w:hAnsiTheme="majorHAnsi" w:cstheme="majorHAnsi"/>
                <w:b/>
                <w:snapToGrid w:val="0"/>
                <w:sz w:val="26"/>
                <w:szCs w:val="26"/>
              </w:rPr>
              <w:t>2. Đối tượng áp dụng</w:t>
            </w:r>
          </w:p>
          <w:p w14:paraId="57986DFE" w14:textId="07CCACB1" w:rsidR="0002530E" w:rsidRPr="00F965AC" w:rsidRDefault="0002530E" w:rsidP="0002530E">
            <w:pPr>
              <w:snapToGrid w:val="0"/>
              <w:jc w:val="both"/>
              <w:rPr>
                <w:rFonts w:asciiTheme="majorHAnsi" w:hAnsiTheme="majorHAnsi" w:cstheme="majorHAnsi"/>
                <w:bCs/>
                <w:spacing w:val="-2"/>
                <w:sz w:val="26"/>
                <w:szCs w:val="26"/>
              </w:rPr>
            </w:pPr>
            <w:r w:rsidRPr="00F965AC">
              <w:rPr>
                <w:rFonts w:asciiTheme="majorHAnsi" w:hAnsiTheme="majorHAnsi" w:cstheme="majorHAnsi"/>
                <w:snapToGrid w:val="0"/>
                <w:sz w:val="26"/>
                <w:szCs w:val="26"/>
              </w:rPr>
              <w:t xml:space="preserve">Quy chuẩn kỹ thuật này áp dụng cho các tổ chức, cá nhân có hoạt động liên quan tới </w:t>
            </w:r>
            <w:r w:rsidRPr="00F965AC">
              <w:rPr>
                <w:rFonts w:asciiTheme="majorHAnsi" w:hAnsiTheme="majorHAnsi" w:cstheme="majorHAnsi"/>
                <w:sz w:val="26"/>
                <w:szCs w:val="26"/>
              </w:rPr>
              <w:t xml:space="preserve">thuốc nổ hỗn hợp của các loại thuốc nổ mạnh đơn chất </w:t>
            </w:r>
            <w:r w:rsidRPr="00F965AC">
              <w:rPr>
                <w:rFonts w:asciiTheme="majorHAnsi" w:hAnsiTheme="majorHAnsi" w:cstheme="majorHAnsi"/>
                <w:bCs/>
                <w:snapToGrid w:val="0"/>
                <w:sz w:val="26"/>
                <w:szCs w:val="26"/>
              </w:rPr>
              <w:t>trên lãnh thổ Việt Nam và các tổ chức, cá nhân khác có liên quan.</w:t>
            </w:r>
          </w:p>
        </w:tc>
        <w:tc>
          <w:tcPr>
            <w:tcW w:w="5245" w:type="dxa"/>
          </w:tcPr>
          <w:p w14:paraId="0DC098B2" w14:textId="6367C35F" w:rsidR="0002530E" w:rsidRPr="00F965AC" w:rsidRDefault="0002530E" w:rsidP="0002530E">
            <w:pPr>
              <w:snapToGrid w:val="0"/>
              <w:jc w:val="both"/>
              <w:rPr>
                <w:rFonts w:asciiTheme="majorHAnsi" w:hAnsiTheme="majorHAnsi" w:cstheme="majorHAnsi"/>
                <w:bCs/>
                <w:color w:val="000000"/>
                <w:sz w:val="26"/>
                <w:szCs w:val="26"/>
              </w:rPr>
            </w:pPr>
            <w:r>
              <w:rPr>
                <w:rFonts w:asciiTheme="majorHAnsi" w:hAnsiTheme="majorHAnsi" w:cstheme="majorHAnsi"/>
                <w:bCs/>
                <w:sz w:val="26"/>
                <w:szCs w:val="26"/>
                <w:lang w:val="en-US" w:eastAsia="vi-VN"/>
              </w:rPr>
              <w:t>Quy định đối tượng áp dụng của QCVN</w:t>
            </w:r>
          </w:p>
        </w:tc>
      </w:tr>
      <w:tr w:rsidR="0002530E" w:rsidRPr="00CE6A3A" w14:paraId="4EA0478B" w14:textId="77777777" w:rsidTr="00E86916">
        <w:trPr>
          <w:trHeight w:val="125"/>
        </w:trPr>
        <w:tc>
          <w:tcPr>
            <w:tcW w:w="3431" w:type="dxa"/>
          </w:tcPr>
          <w:p w14:paraId="7429BF16" w14:textId="65B26348" w:rsidR="0002530E" w:rsidRPr="00623736" w:rsidRDefault="0002530E" w:rsidP="0002530E">
            <w:pPr>
              <w:rPr>
                <w:rFonts w:asciiTheme="majorHAnsi" w:hAnsiTheme="majorHAnsi" w:cstheme="majorHAnsi"/>
                <w:color w:val="000000"/>
                <w:sz w:val="26"/>
                <w:szCs w:val="26"/>
                <w:lang w:val="en-US"/>
              </w:rPr>
            </w:pPr>
          </w:p>
        </w:tc>
        <w:tc>
          <w:tcPr>
            <w:tcW w:w="5812" w:type="dxa"/>
          </w:tcPr>
          <w:p w14:paraId="0A173E66" w14:textId="77777777" w:rsidR="0002530E" w:rsidRPr="00F965AC" w:rsidRDefault="0002530E" w:rsidP="0002530E">
            <w:pPr>
              <w:widowControl w:val="0"/>
              <w:spacing w:before="60" w:after="60" w:line="320" w:lineRule="exact"/>
              <w:jc w:val="both"/>
              <w:rPr>
                <w:rFonts w:asciiTheme="majorHAnsi" w:hAnsiTheme="majorHAnsi" w:cstheme="majorHAnsi"/>
                <w:b/>
                <w:bCs/>
                <w:snapToGrid w:val="0"/>
                <w:sz w:val="26"/>
                <w:szCs w:val="26"/>
              </w:rPr>
            </w:pPr>
            <w:r w:rsidRPr="00F965AC">
              <w:rPr>
                <w:rFonts w:asciiTheme="majorHAnsi" w:hAnsiTheme="majorHAnsi" w:cstheme="majorHAnsi"/>
                <w:b/>
                <w:bCs/>
                <w:snapToGrid w:val="0"/>
                <w:sz w:val="26"/>
                <w:szCs w:val="26"/>
              </w:rPr>
              <w:t>3. Giải thích từ ngữ</w:t>
            </w:r>
          </w:p>
          <w:p w14:paraId="0094963F" w14:textId="38C17BCA" w:rsidR="0002530E" w:rsidRPr="00F965AC" w:rsidRDefault="0002530E" w:rsidP="0002530E">
            <w:pPr>
              <w:snapToGrid w:val="0"/>
              <w:jc w:val="both"/>
              <w:rPr>
                <w:rFonts w:asciiTheme="majorHAnsi" w:hAnsiTheme="majorHAnsi" w:cstheme="majorHAnsi"/>
                <w:bCs/>
                <w:spacing w:val="-2"/>
                <w:sz w:val="26"/>
                <w:szCs w:val="26"/>
              </w:rPr>
            </w:pPr>
            <w:r w:rsidRPr="00F965AC">
              <w:rPr>
                <w:rFonts w:asciiTheme="majorHAnsi" w:hAnsiTheme="majorHAnsi" w:cstheme="majorHAnsi"/>
                <w:sz w:val="26"/>
                <w:szCs w:val="26"/>
              </w:rPr>
              <w:t>Thuốc nổ hỗn hợp của các loại thuốc nổ mạnh đơn chất</w:t>
            </w:r>
            <w:r w:rsidRPr="00F965AC">
              <w:rPr>
                <w:rFonts w:asciiTheme="majorHAnsi" w:hAnsiTheme="majorHAnsi" w:cstheme="majorHAnsi"/>
                <w:iCs/>
                <w:spacing w:val="-4"/>
                <w:sz w:val="26"/>
                <w:szCs w:val="26"/>
                <w:bdr w:val="none" w:sz="0" w:space="0" w:color="auto" w:frame="1"/>
                <w:shd w:val="clear" w:color="auto" w:fill="FFFFFF"/>
              </w:rPr>
              <w:t>:</w:t>
            </w:r>
            <w:r w:rsidRPr="00F965AC">
              <w:rPr>
                <w:rFonts w:asciiTheme="majorHAnsi" w:hAnsiTheme="majorHAnsi" w:cstheme="majorHAnsi"/>
                <w:spacing w:val="-4"/>
                <w:sz w:val="26"/>
                <w:szCs w:val="26"/>
                <w:bdr w:val="none" w:sz="0" w:space="0" w:color="auto" w:frame="1"/>
                <w:shd w:val="clear" w:color="auto" w:fill="FFFFFF"/>
              </w:rPr>
              <w:t xml:space="preserve"> Là hỗn hợp của </w:t>
            </w:r>
            <w:r w:rsidRPr="00F965AC">
              <w:rPr>
                <w:rFonts w:asciiTheme="majorHAnsi" w:hAnsiTheme="majorHAnsi" w:cstheme="majorHAnsi"/>
                <w:spacing w:val="-4"/>
                <w:sz w:val="26"/>
                <w:szCs w:val="26"/>
              </w:rPr>
              <w:t>t</w:t>
            </w:r>
            <w:r w:rsidRPr="00F965AC">
              <w:rPr>
                <w:rFonts w:asciiTheme="majorHAnsi" w:hAnsiTheme="majorHAnsi" w:cstheme="majorHAnsi"/>
                <w:spacing w:val="-4"/>
                <w:sz w:val="26"/>
                <w:szCs w:val="26"/>
                <w:lang w:val="en"/>
              </w:rPr>
              <w:t>hu</w:t>
            </w:r>
            <w:r w:rsidRPr="00F965AC">
              <w:rPr>
                <w:rFonts w:asciiTheme="majorHAnsi" w:hAnsiTheme="majorHAnsi" w:cstheme="majorHAnsi"/>
                <w:spacing w:val="-4"/>
                <w:sz w:val="26"/>
                <w:szCs w:val="26"/>
              </w:rPr>
              <w:t>ốc nổ Trinitrotoluen (TNT)</w:t>
            </w:r>
            <w:r w:rsidRPr="00F965AC">
              <w:rPr>
                <w:rFonts w:asciiTheme="majorHAnsi" w:hAnsiTheme="majorHAnsi" w:cstheme="majorHAnsi"/>
                <w:spacing w:val="-4"/>
                <w:sz w:val="26"/>
                <w:szCs w:val="26"/>
                <w:bdr w:val="none" w:sz="0" w:space="0" w:color="auto" w:frame="1"/>
                <w:shd w:val="clear" w:color="auto" w:fill="FFFFFF"/>
              </w:rPr>
              <w:t xml:space="preserve"> với một trong các loại thuốc nổ Hexogen, thuốc nổ Octogen, thuốc nổ Pentrit.</w:t>
            </w:r>
          </w:p>
        </w:tc>
        <w:tc>
          <w:tcPr>
            <w:tcW w:w="5245" w:type="dxa"/>
          </w:tcPr>
          <w:p w14:paraId="5F54ADE6" w14:textId="7052033C" w:rsidR="0002530E" w:rsidRPr="00E86916" w:rsidRDefault="009C27C3" w:rsidP="0002530E">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t xml:space="preserve">Trong 04 loại thuốc nổ mạnh được sử dụng làm nguyên liệu để sản xuất vật liệu nổ công nghiệp (VLNCN), thuốc nổ </w:t>
            </w:r>
            <w:r w:rsidRPr="00F965AC">
              <w:rPr>
                <w:rFonts w:asciiTheme="majorHAnsi" w:hAnsiTheme="majorHAnsi" w:cstheme="majorHAnsi"/>
                <w:spacing w:val="-4"/>
                <w:sz w:val="26"/>
                <w:szCs w:val="26"/>
              </w:rPr>
              <w:t>TNT</w:t>
            </w:r>
            <w:r>
              <w:rPr>
                <w:rFonts w:asciiTheme="majorHAnsi" w:hAnsiTheme="majorHAnsi" w:cstheme="majorHAnsi"/>
                <w:spacing w:val="-4"/>
                <w:sz w:val="26"/>
                <w:szCs w:val="26"/>
                <w:lang w:val="en-US"/>
              </w:rPr>
              <w:t xml:space="preserve"> là loại thuốc nổ có sức công phá nhỏ hơn</w:t>
            </w:r>
            <w:r w:rsidR="00E86916">
              <w:rPr>
                <w:rFonts w:asciiTheme="majorHAnsi" w:hAnsiTheme="majorHAnsi" w:cstheme="majorHAnsi"/>
                <w:spacing w:val="-4"/>
                <w:sz w:val="26"/>
                <w:szCs w:val="26"/>
                <w:lang w:val="en-US"/>
              </w:rPr>
              <w:t xml:space="preserve"> và giá thành thấp hơn</w:t>
            </w:r>
            <w:r>
              <w:rPr>
                <w:rFonts w:asciiTheme="majorHAnsi" w:hAnsiTheme="majorHAnsi" w:cstheme="majorHAnsi"/>
                <w:spacing w:val="-4"/>
                <w:sz w:val="26"/>
                <w:szCs w:val="26"/>
                <w:lang w:val="en-US"/>
              </w:rPr>
              <w:t xml:space="preserve"> </w:t>
            </w:r>
            <w:r>
              <w:rPr>
                <w:rFonts w:asciiTheme="majorHAnsi" w:hAnsiTheme="majorHAnsi" w:cstheme="majorHAnsi"/>
                <w:bCs/>
                <w:color w:val="000000"/>
                <w:sz w:val="26"/>
                <w:szCs w:val="26"/>
                <w:lang w:val="en-US"/>
              </w:rPr>
              <w:t>các loại thuốc nổ còn lại, vì vậy để chế tạo mồi nổ dùng cho thuốc nổ công nghiệp, mồi nổ tăng cường</w:t>
            </w:r>
            <w:r w:rsidR="00E86916">
              <w:rPr>
                <w:rFonts w:asciiTheme="majorHAnsi" w:hAnsiTheme="majorHAnsi" w:cstheme="majorHAnsi"/>
                <w:bCs/>
                <w:color w:val="000000"/>
                <w:sz w:val="26"/>
                <w:szCs w:val="26"/>
                <w:lang w:val="en-US"/>
              </w:rPr>
              <w:t>, các tổ chức sản xuất VLNCN thường sử dụng hỗn hợp của thuốc nổ TNT với các loại thuốc nổ còn lại nhằm tăng sức công phá đáp ứng kích nổ các loại VLNCN khác với chi phí phủ hợp. Hỗn hợp các</w:t>
            </w:r>
            <w:r>
              <w:rPr>
                <w:rFonts w:asciiTheme="majorHAnsi" w:hAnsiTheme="majorHAnsi" w:cstheme="majorHAnsi"/>
                <w:bCs/>
                <w:color w:val="000000"/>
                <w:sz w:val="26"/>
                <w:szCs w:val="26"/>
                <w:lang w:val="en-US"/>
              </w:rPr>
              <w:t xml:space="preserve"> thuốc nổ đơn chất</w:t>
            </w:r>
            <w:r w:rsidR="00E86916">
              <w:rPr>
                <w:rFonts w:asciiTheme="majorHAnsi" w:hAnsiTheme="majorHAnsi" w:cstheme="majorHAnsi"/>
                <w:bCs/>
                <w:color w:val="000000"/>
                <w:sz w:val="26"/>
                <w:szCs w:val="26"/>
                <w:lang w:val="en-US"/>
              </w:rPr>
              <w:t xml:space="preserve"> khác</w:t>
            </w:r>
            <w:r>
              <w:rPr>
                <w:rFonts w:asciiTheme="majorHAnsi" w:hAnsiTheme="majorHAnsi" w:cstheme="majorHAnsi"/>
                <w:bCs/>
                <w:color w:val="000000"/>
                <w:sz w:val="26"/>
                <w:szCs w:val="26"/>
                <w:lang w:val="en-US"/>
              </w:rPr>
              <w:t xml:space="preserve"> </w:t>
            </w:r>
            <w:r w:rsidR="00E86916">
              <w:rPr>
                <w:rFonts w:asciiTheme="majorHAnsi" w:hAnsiTheme="majorHAnsi" w:cstheme="majorHAnsi"/>
                <w:bCs/>
                <w:color w:val="000000"/>
                <w:sz w:val="26"/>
                <w:szCs w:val="26"/>
                <w:lang w:val="en-US"/>
              </w:rPr>
              <w:t>(</w:t>
            </w:r>
            <w:r w:rsidRPr="00F965AC">
              <w:rPr>
                <w:rFonts w:asciiTheme="majorHAnsi" w:hAnsiTheme="majorHAnsi" w:cstheme="majorHAnsi"/>
                <w:spacing w:val="-4"/>
                <w:sz w:val="26"/>
                <w:szCs w:val="26"/>
                <w:bdr w:val="none" w:sz="0" w:space="0" w:color="auto" w:frame="1"/>
                <w:shd w:val="clear" w:color="auto" w:fill="FFFFFF"/>
              </w:rPr>
              <w:t>Hexogen, Octogen, Pentrit</w:t>
            </w:r>
            <w:r w:rsidR="00E86916">
              <w:rPr>
                <w:rFonts w:asciiTheme="majorHAnsi" w:hAnsiTheme="majorHAnsi" w:cstheme="majorHAnsi"/>
                <w:spacing w:val="-4"/>
                <w:sz w:val="26"/>
                <w:szCs w:val="26"/>
                <w:bdr w:val="none" w:sz="0" w:space="0" w:color="auto" w:frame="1"/>
                <w:shd w:val="clear" w:color="auto" w:fill="FFFFFF"/>
                <w:lang w:val="en-US"/>
              </w:rPr>
              <w:t>) mang lại n</w:t>
            </w:r>
            <w:r w:rsidR="00E86916" w:rsidRPr="00E86916">
              <w:rPr>
                <w:rFonts w:asciiTheme="majorHAnsi" w:hAnsiTheme="majorHAnsi" w:cstheme="majorHAnsi"/>
                <w:spacing w:val="-4"/>
                <w:sz w:val="26"/>
                <w:szCs w:val="26"/>
                <w:bdr w:val="none" w:sz="0" w:space="0" w:color="auto" w:frame="1"/>
                <w:shd w:val="clear" w:color="auto" w:fill="FFFFFF"/>
              </w:rPr>
              <w:t xml:space="preserve">guồn năng lượng khổng lồ với sóng xung kích </w:t>
            </w:r>
            <w:r w:rsidR="00E86916">
              <w:rPr>
                <w:rFonts w:asciiTheme="majorHAnsi" w:hAnsiTheme="majorHAnsi" w:cstheme="majorHAnsi"/>
                <w:spacing w:val="-4"/>
                <w:sz w:val="26"/>
                <w:szCs w:val="26"/>
                <w:bdr w:val="none" w:sz="0" w:space="0" w:color="auto" w:frame="1"/>
                <w:shd w:val="clear" w:color="auto" w:fill="FFFFFF"/>
                <w:lang w:val="en-US"/>
              </w:rPr>
              <w:t xml:space="preserve">lớn, tuy nhiên chủ yếu sử dụng cho mục đích quân sự. Theo đó, QCVN này chỉ áp dụng đối với hốn hợp thuốc nổ TNT với các loại thuốc nổ mạnh khác làm nguyên liệu để </w:t>
            </w:r>
            <w:r w:rsidR="00E86916">
              <w:rPr>
                <w:rFonts w:asciiTheme="majorHAnsi" w:hAnsiTheme="majorHAnsi" w:cstheme="majorHAnsi"/>
                <w:spacing w:val="-4"/>
                <w:sz w:val="26"/>
                <w:szCs w:val="26"/>
                <w:bdr w:val="none" w:sz="0" w:space="0" w:color="auto" w:frame="1"/>
                <w:shd w:val="clear" w:color="auto" w:fill="FFFFFF"/>
                <w:lang w:val="en-US"/>
              </w:rPr>
              <w:lastRenderedPageBreak/>
              <w:t>sản xuất mồi nổ tăng cường, mồi nổ dùng cho thuốc nổ công nghiệp (thuộc danh mục VLNCN được phép sản xuất, kinh doanh, sử dụng tại Việt Nam)</w:t>
            </w:r>
          </w:p>
        </w:tc>
      </w:tr>
      <w:tr w:rsidR="0002530E" w:rsidRPr="00CE6A3A" w14:paraId="1561CD38" w14:textId="77777777" w:rsidTr="00E86916">
        <w:trPr>
          <w:trHeight w:val="125"/>
        </w:trPr>
        <w:tc>
          <w:tcPr>
            <w:tcW w:w="3431" w:type="dxa"/>
          </w:tcPr>
          <w:p w14:paraId="6E727110" w14:textId="77777777" w:rsidR="0002530E" w:rsidRPr="00F965AC" w:rsidRDefault="0002530E" w:rsidP="0002530E">
            <w:pPr>
              <w:pStyle w:val="NormalWeb"/>
              <w:widowControl w:val="0"/>
              <w:shd w:val="clear" w:color="auto" w:fill="FFFFFF"/>
              <w:spacing w:before="0" w:beforeAutospacing="0" w:after="0" w:afterAutospacing="0"/>
              <w:jc w:val="both"/>
              <w:rPr>
                <w:rFonts w:asciiTheme="majorHAnsi" w:hAnsiTheme="majorHAnsi" w:cstheme="majorHAnsi"/>
                <w:b/>
                <w:bCs/>
                <w:spacing w:val="5"/>
                <w:sz w:val="26"/>
                <w:szCs w:val="26"/>
              </w:rPr>
            </w:pPr>
          </w:p>
        </w:tc>
        <w:tc>
          <w:tcPr>
            <w:tcW w:w="5812" w:type="dxa"/>
          </w:tcPr>
          <w:p w14:paraId="66A1C2B3" w14:textId="77777777" w:rsidR="0002530E" w:rsidRPr="00F965AC" w:rsidRDefault="0002530E" w:rsidP="0002530E">
            <w:pPr>
              <w:widowControl w:val="0"/>
              <w:spacing w:before="60" w:after="60" w:line="320" w:lineRule="exact"/>
              <w:jc w:val="both"/>
              <w:rPr>
                <w:rFonts w:asciiTheme="majorHAnsi" w:hAnsiTheme="majorHAnsi" w:cstheme="majorHAnsi"/>
                <w:b/>
                <w:sz w:val="26"/>
                <w:szCs w:val="26"/>
              </w:rPr>
            </w:pPr>
            <w:r w:rsidRPr="00F965AC">
              <w:rPr>
                <w:rFonts w:asciiTheme="majorHAnsi" w:hAnsiTheme="majorHAnsi" w:cstheme="majorHAnsi"/>
                <w:b/>
                <w:sz w:val="26"/>
                <w:szCs w:val="26"/>
              </w:rPr>
              <w:t>4. Tài liệu viện dẫn</w:t>
            </w:r>
          </w:p>
          <w:p w14:paraId="66B72AC3" w14:textId="77777777" w:rsidR="0002530E" w:rsidRPr="00F965AC" w:rsidRDefault="0002530E" w:rsidP="0002530E">
            <w:pPr>
              <w:widowControl w:val="0"/>
              <w:spacing w:before="60" w:after="60" w:line="320" w:lineRule="exact"/>
              <w:jc w:val="both"/>
              <w:rPr>
                <w:rFonts w:asciiTheme="majorHAnsi" w:hAnsiTheme="majorHAnsi" w:cstheme="majorHAnsi"/>
                <w:sz w:val="26"/>
                <w:szCs w:val="26"/>
              </w:rPr>
            </w:pPr>
            <w:r w:rsidRPr="00F965AC">
              <w:rPr>
                <w:rFonts w:asciiTheme="majorHAnsi" w:hAnsiTheme="majorHAnsi" w:cstheme="majorHAnsi"/>
                <w:sz w:val="26"/>
                <w:szCs w:val="26"/>
              </w:rPr>
              <w:t>4.1. QCVN 01:2019/BCT - Quy chuẩn kỹ thuật quốc gia về an toàn trong sản xuất, thử nghiệm, nghiệm thu, bảo quản, vận chuyển, sử dụng, tiêu hủy vật liệu nổ công nghiệp và bảo quản tiền chất thuốc nổ.</w:t>
            </w:r>
          </w:p>
          <w:p w14:paraId="1BF05D99" w14:textId="77777777" w:rsidR="0002530E" w:rsidRPr="00F965AC" w:rsidRDefault="0002530E" w:rsidP="0002530E">
            <w:pPr>
              <w:widowControl w:val="0"/>
              <w:spacing w:before="60" w:after="60" w:line="320" w:lineRule="exact"/>
              <w:jc w:val="both"/>
              <w:rPr>
                <w:rFonts w:asciiTheme="majorHAnsi" w:hAnsiTheme="majorHAnsi" w:cstheme="majorHAnsi"/>
                <w:spacing w:val="-4"/>
                <w:sz w:val="26"/>
                <w:szCs w:val="26"/>
              </w:rPr>
            </w:pPr>
            <w:r w:rsidRPr="00F965AC">
              <w:rPr>
                <w:rFonts w:asciiTheme="majorHAnsi" w:hAnsiTheme="majorHAnsi" w:cstheme="majorHAnsi"/>
                <w:sz w:val="26"/>
                <w:szCs w:val="26"/>
              </w:rPr>
              <w:t>4.2. QCVN 12-25:2024/BCT - Quy chuẩn kỹ thuật quốc gia về an toàn sản phẩm vật liệu nổ công nghiệp - kíp nổ điện số 8</w:t>
            </w:r>
            <w:r w:rsidRPr="00F965AC">
              <w:rPr>
                <w:rFonts w:asciiTheme="majorHAnsi" w:hAnsiTheme="majorHAnsi" w:cstheme="majorHAnsi"/>
                <w:spacing w:val="-4"/>
                <w:sz w:val="26"/>
                <w:szCs w:val="26"/>
              </w:rPr>
              <w:t>.</w:t>
            </w:r>
          </w:p>
          <w:p w14:paraId="6F43797E" w14:textId="77777777" w:rsidR="0002530E" w:rsidRPr="00F965AC" w:rsidRDefault="0002530E" w:rsidP="0002530E">
            <w:pPr>
              <w:widowControl w:val="0"/>
              <w:spacing w:before="60" w:after="60" w:line="320" w:lineRule="exact"/>
              <w:jc w:val="both"/>
              <w:rPr>
                <w:rFonts w:asciiTheme="majorHAnsi" w:hAnsiTheme="majorHAnsi" w:cstheme="majorHAnsi"/>
                <w:sz w:val="26"/>
                <w:szCs w:val="26"/>
                <w:lang w:val="it-IT"/>
              </w:rPr>
            </w:pPr>
            <w:r w:rsidRPr="00F965AC">
              <w:rPr>
                <w:rFonts w:asciiTheme="majorHAnsi" w:hAnsiTheme="majorHAnsi" w:cstheme="majorHAnsi"/>
                <w:sz w:val="26"/>
                <w:szCs w:val="26"/>
                <w:lang w:val="it-IT"/>
              </w:rPr>
              <w:t>4.3. TCVN 6421:1998 - Vật liệu nổ công nghiệp - Xác định khả năng sinh công bằng cách đo độ nén trụ chì.</w:t>
            </w:r>
          </w:p>
          <w:p w14:paraId="37685B7D" w14:textId="0A98B87C" w:rsidR="0002530E" w:rsidRPr="00F965AC" w:rsidRDefault="0002530E" w:rsidP="0002530E">
            <w:pPr>
              <w:widowControl w:val="0"/>
              <w:shd w:val="clear" w:color="auto" w:fill="FFFFFF"/>
              <w:jc w:val="both"/>
              <w:rPr>
                <w:rFonts w:asciiTheme="majorHAnsi" w:hAnsiTheme="majorHAnsi" w:cstheme="majorHAnsi"/>
                <w:sz w:val="26"/>
                <w:szCs w:val="26"/>
                <w:lang w:val="en-US"/>
              </w:rPr>
            </w:pPr>
            <w:r w:rsidRPr="00F965AC">
              <w:rPr>
                <w:rFonts w:asciiTheme="majorHAnsi" w:hAnsiTheme="majorHAnsi" w:cstheme="majorHAnsi"/>
                <w:sz w:val="26"/>
                <w:szCs w:val="26"/>
                <w:lang w:val="it-IT"/>
              </w:rPr>
              <w:t>4.4. TCVN 6424:1998 - Vật liệu nổ công nghiệp - Xác định khả năng sinh công bằng con lắc xạ thuật.</w:t>
            </w:r>
          </w:p>
        </w:tc>
        <w:tc>
          <w:tcPr>
            <w:tcW w:w="5245" w:type="dxa"/>
          </w:tcPr>
          <w:p w14:paraId="398A9ACF" w14:textId="130EA646" w:rsidR="0002530E" w:rsidRPr="00F965AC" w:rsidRDefault="00880922" w:rsidP="0002530E">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t>Quy định các tiêu chuẩn, quy chuẩn kỹ thuật được sử dụng tại dự thảo QCVN</w:t>
            </w:r>
          </w:p>
        </w:tc>
      </w:tr>
      <w:tr w:rsidR="0002530E" w:rsidRPr="00CE6A3A" w14:paraId="55AC9CA8" w14:textId="77777777" w:rsidTr="00E86916">
        <w:trPr>
          <w:trHeight w:val="125"/>
        </w:trPr>
        <w:tc>
          <w:tcPr>
            <w:tcW w:w="3431" w:type="dxa"/>
          </w:tcPr>
          <w:p w14:paraId="3902371B" w14:textId="314450E7" w:rsidR="0002530E" w:rsidRPr="00F965AC" w:rsidRDefault="0002530E" w:rsidP="0002530E">
            <w:pPr>
              <w:widowControl w:val="0"/>
              <w:shd w:val="clear" w:color="auto" w:fill="FFFFFF"/>
              <w:jc w:val="both"/>
              <w:rPr>
                <w:rFonts w:asciiTheme="majorHAnsi" w:hAnsiTheme="majorHAnsi" w:cstheme="majorHAnsi"/>
                <w:spacing w:val="-2"/>
                <w:sz w:val="26"/>
                <w:szCs w:val="26"/>
                <w:lang w:val="nl-BE"/>
              </w:rPr>
            </w:pPr>
          </w:p>
        </w:tc>
        <w:tc>
          <w:tcPr>
            <w:tcW w:w="5812" w:type="dxa"/>
          </w:tcPr>
          <w:p w14:paraId="5356AECD" w14:textId="77777777" w:rsidR="0002530E" w:rsidRPr="00F965AC" w:rsidRDefault="0002530E" w:rsidP="0002530E">
            <w:pPr>
              <w:widowControl w:val="0"/>
              <w:spacing w:before="60" w:after="60" w:line="320" w:lineRule="exact"/>
              <w:jc w:val="both"/>
              <w:rPr>
                <w:rFonts w:asciiTheme="majorHAnsi" w:hAnsiTheme="majorHAnsi" w:cstheme="majorHAnsi"/>
                <w:b/>
                <w:sz w:val="26"/>
                <w:szCs w:val="26"/>
              </w:rPr>
            </w:pPr>
            <w:r w:rsidRPr="00F965AC">
              <w:rPr>
                <w:rFonts w:asciiTheme="majorHAnsi" w:hAnsiTheme="majorHAnsi" w:cstheme="majorHAnsi"/>
                <w:b/>
                <w:sz w:val="26"/>
                <w:szCs w:val="26"/>
              </w:rPr>
              <w:t>5. Chỉ tiêu kỹ thuật</w:t>
            </w:r>
          </w:p>
          <w:p w14:paraId="3F7CBEB9" w14:textId="77777777" w:rsidR="0002530E" w:rsidRPr="00F965AC" w:rsidRDefault="0002530E" w:rsidP="0002530E">
            <w:pPr>
              <w:widowControl w:val="0"/>
              <w:spacing w:before="60" w:after="60" w:line="320" w:lineRule="exact"/>
              <w:jc w:val="both"/>
              <w:rPr>
                <w:rFonts w:asciiTheme="majorHAnsi" w:hAnsiTheme="majorHAnsi" w:cstheme="majorHAnsi"/>
                <w:sz w:val="26"/>
                <w:szCs w:val="26"/>
              </w:rPr>
            </w:pPr>
            <w:r w:rsidRPr="00F965AC">
              <w:rPr>
                <w:rFonts w:asciiTheme="majorHAnsi" w:hAnsiTheme="majorHAnsi" w:cstheme="majorHAnsi"/>
                <w:sz w:val="26"/>
                <w:szCs w:val="26"/>
              </w:rPr>
              <w:t>Chỉ tiêu kỹ thuật của thuốc nổ hỗn hợp của các loại thuốc nổ mạnh đơn chất được quy định tại Bảng 1.</w:t>
            </w:r>
          </w:p>
          <w:p w14:paraId="2FAD874A" w14:textId="77777777" w:rsidR="0002530E" w:rsidRPr="00F965AC" w:rsidRDefault="0002530E" w:rsidP="0002530E">
            <w:pPr>
              <w:widowControl w:val="0"/>
              <w:spacing w:before="60" w:after="60"/>
              <w:jc w:val="both"/>
              <w:rPr>
                <w:rFonts w:asciiTheme="majorHAnsi" w:hAnsiTheme="majorHAnsi" w:cstheme="majorHAnsi"/>
                <w:b/>
                <w:sz w:val="26"/>
                <w:szCs w:val="26"/>
              </w:rPr>
            </w:pPr>
            <w:r w:rsidRPr="00F965AC">
              <w:rPr>
                <w:rFonts w:asciiTheme="majorHAnsi" w:hAnsiTheme="majorHAnsi" w:cstheme="majorHAnsi"/>
                <w:b/>
                <w:sz w:val="26"/>
                <w:szCs w:val="26"/>
              </w:rPr>
              <w:t>Bảng 1- Chỉ tiêu kỹ thuật của thuốc nổ hỗn hợp của các loại thuốc nổ mạnh đơn chất</w:t>
            </w:r>
          </w:p>
          <w:tbl>
            <w:tblPr>
              <w:tblW w:w="5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992"/>
              <w:gridCol w:w="1700"/>
            </w:tblGrid>
            <w:tr w:rsidR="0002530E" w:rsidRPr="00F965AC" w14:paraId="0A3AB30C" w14:textId="77777777" w:rsidTr="0031717F">
              <w:trPr>
                <w:tblHeader/>
              </w:trPr>
              <w:tc>
                <w:tcPr>
                  <w:tcW w:w="3008" w:type="dxa"/>
                </w:tcPr>
                <w:p w14:paraId="2F2BF1AF" w14:textId="77777777" w:rsidR="0002530E" w:rsidRPr="00F965AC" w:rsidRDefault="0002530E" w:rsidP="0002530E">
                  <w:pPr>
                    <w:widowControl w:val="0"/>
                    <w:spacing w:before="60" w:after="60"/>
                    <w:jc w:val="center"/>
                    <w:rPr>
                      <w:rFonts w:asciiTheme="majorHAnsi" w:hAnsiTheme="majorHAnsi" w:cstheme="majorHAnsi"/>
                      <w:b/>
                      <w:sz w:val="26"/>
                      <w:szCs w:val="26"/>
                    </w:rPr>
                  </w:pPr>
                  <w:r w:rsidRPr="00F965AC">
                    <w:rPr>
                      <w:rFonts w:asciiTheme="majorHAnsi" w:hAnsiTheme="majorHAnsi" w:cstheme="majorHAnsi"/>
                      <w:b/>
                      <w:sz w:val="26"/>
                      <w:szCs w:val="26"/>
                    </w:rPr>
                    <w:t>Tên chỉ tiêu</w:t>
                  </w:r>
                </w:p>
              </w:tc>
              <w:tc>
                <w:tcPr>
                  <w:tcW w:w="992" w:type="dxa"/>
                </w:tcPr>
                <w:p w14:paraId="43E38B35" w14:textId="77777777" w:rsidR="0002530E" w:rsidRPr="00F965AC" w:rsidRDefault="0002530E" w:rsidP="0002530E">
                  <w:pPr>
                    <w:widowControl w:val="0"/>
                    <w:spacing w:before="60" w:after="60"/>
                    <w:jc w:val="center"/>
                    <w:rPr>
                      <w:rFonts w:asciiTheme="majorHAnsi" w:hAnsiTheme="majorHAnsi" w:cstheme="majorHAnsi"/>
                      <w:b/>
                      <w:sz w:val="26"/>
                      <w:szCs w:val="26"/>
                    </w:rPr>
                  </w:pPr>
                  <w:r w:rsidRPr="00F965AC">
                    <w:rPr>
                      <w:rFonts w:asciiTheme="majorHAnsi" w:hAnsiTheme="majorHAnsi" w:cstheme="majorHAnsi"/>
                      <w:b/>
                      <w:sz w:val="26"/>
                      <w:szCs w:val="26"/>
                    </w:rPr>
                    <w:t>Đơn vị tính</w:t>
                  </w:r>
                </w:p>
              </w:tc>
              <w:tc>
                <w:tcPr>
                  <w:tcW w:w="1700" w:type="dxa"/>
                </w:tcPr>
                <w:p w14:paraId="0B6058C8" w14:textId="77777777" w:rsidR="0002530E" w:rsidRPr="00F965AC" w:rsidRDefault="0002530E" w:rsidP="0002530E">
                  <w:pPr>
                    <w:widowControl w:val="0"/>
                    <w:spacing w:before="60" w:after="60"/>
                    <w:jc w:val="center"/>
                    <w:rPr>
                      <w:rFonts w:asciiTheme="majorHAnsi" w:hAnsiTheme="majorHAnsi" w:cstheme="majorHAnsi"/>
                      <w:b/>
                      <w:sz w:val="26"/>
                      <w:szCs w:val="26"/>
                    </w:rPr>
                  </w:pPr>
                  <w:r w:rsidRPr="00F965AC">
                    <w:rPr>
                      <w:rFonts w:asciiTheme="majorHAnsi" w:hAnsiTheme="majorHAnsi" w:cstheme="majorHAnsi"/>
                      <w:b/>
                      <w:sz w:val="26"/>
                      <w:szCs w:val="26"/>
                    </w:rPr>
                    <w:t>Chỉ tiêu</w:t>
                  </w:r>
                </w:p>
              </w:tc>
            </w:tr>
            <w:tr w:rsidR="0002530E" w:rsidRPr="00F965AC" w14:paraId="7E8566E2" w14:textId="77777777" w:rsidTr="0031717F">
              <w:tc>
                <w:tcPr>
                  <w:tcW w:w="3008" w:type="dxa"/>
                </w:tcPr>
                <w:p w14:paraId="08F3844B" w14:textId="77777777" w:rsidR="0002530E" w:rsidRPr="00F965AC" w:rsidRDefault="0002530E" w:rsidP="0002530E">
                  <w:pPr>
                    <w:widowControl w:val="0"/>
                    <w:spacing w:before="60" w:after="60"/>
                    <w:jc w:val="both"/>
                    <w:rPr>
                      <w:rFonts w:asciiTheme="majorHAnsi" w:hAnsiTheme="majorHAnsi" w:cstheme="majorHAnsi"/>
                      <w:sz w:val="26"/>
                      <w:szCs w:val="26"/>
                      <w:lang w:val="nl-NL"/>
                    </w:rPr>
                  </w:pPr>
                  <w:r w:rsidRPr="00F965AC">
                    <w:rPr>
                      <w:rFonts w:asciiTheme="majorHAnsi" w:hAnsiTheme="majorHAnsi" w:cstheme="majorHAnsi"/>
                      <w:sz w:val="26"/>
                      <w:szCs w:val="26"/>
                      <w:lang w:val="nl-NL"/>
                    </w:rPr>
                    <w:t xml:space="preserve">1. </w:t>
                  </w:r>
                  <w:r w:rsidRPr="00F965AC">
                    <w:rPr>
                      <w:rFonts w:asciiTheme="majorHAnsi" w:hAnsiTheme="majorHAnsi" w:cstheme="majorHAnsi"/>
                      <w:bCs/>
                      <w:sz w:val="26"/>
                      <w:szCs w:val="26"/>
                    </w:rPr>
                    <w:t xml:space="preserve">Hàm lượng nước và các </w:t>
                  </w:r>
                  <w:r w:rsidRPr="00F965AC">
                    <w:rPr>
                      <w:rFonts w:asciiTheme="majorHAnsi" w:hAnsiTheme="majorHAnsi" w:cstheme="majorHAnsi"/>
                      <w:bCs/>
                      <w:sz w:val="26"/>
                      <w:szCs w:val="26"/>
                    </w:rPr>
                    <w:lastRenderedPageBreak/>
                    <w:t>chất dễ bay hơi</w:t>
                  </w:r>
                </w:p>
              </w:tc>
              <w:tc>
                <w:tcPr>
                  <w:tcW w:w="992" w:type="dxa"/>
                </w:tcPr>
                <w:p w14:paraId="0126D5D1" w14:textId="77777777" w:rsidR="0002530E" w:rsidRPr="00F965AC" w:rsidRDefault="0002530E" w:rsidP="0002530E">
                  <w:pPr>
                    <w:widowControl w:val="0"/>
                    <w:tabs>
                      <w:tab w:val="left" w:pos="1580"/>
                    </w:tabs>
                    <w:autoSpaceDE w:val="0"/>
                    <w:autoSpaceDN w:val="0"/>
                    <w:adjustRightInd w:val="0"/>
                    <w:spacing w:before="60" w:after="60"/>
                    <w:jc w:val="center"/>
                    <w:rPr>
                      <w:rFonts w:asciiTheme="majorHAnsi" w:hAnsiTheme="majorHAnsi" w:cstheme="majorHAnsi"/>
                      <w:sz w:val="26"/>
                      <w:szCs w:val="26"/>
                    </w:rPr>
                  </w:pPr>
                  <w:r w:rsidRPr="00F965AC">
                    <w:rPr>
                      <w:rFonts w:asciiTheme="majorHAnsi" w:hAnsiTheme="majorHAnsi" w:cstheme="majorHAnsi"/>
                      <w:sz w:val="26"/>
                      <w:szCs w:val="26"/>
                    </w:rPr>
                    <w:lastRenderedPageBreak/>
                    <w:t>%</w:t>
                  </w:r>
                </w:p>
              </w:tc>
              <w:tc>
                <w:tcPr>
                  <w:tcW w:w="1700" w:type="dxa"/>
                </w:tcPr>
                <w:p w14:paraId="49E5589D" w14:textId="77777777" w:rsidR="0002530E" w:rsidRPr="00F965AC" w:rsidRDefault="0002530E" w:rsidP="0002530E">
                  <w:pPr>
                    <w:widowControl w:val="0"/>
                    <w:autoSpaceDE w:val="0"/>
                    <w:autoSpaceDN w:val="0"/>
                    <w:adjustRightInd w:val="0"/>
                    <w:spacing w:before="60" w:after="60"/>
                    <w:jc w:val="center"/>
                    <w:rPr>
                      <w:rFonts w:asciiTheme="majorHAnsi" w:hAnsiTheme="majorHAnsi" w:cstheme="majorHAnsi"/>
                      <w:sz w:val="26"/>
                      <w:szCs w:val="26"/>
                    </w:rPr>
                  </w:pPr>
                  <w:r w:rsidRPr="00F965AC">
                    <w:rPr>
                      <w:rFonts w:asciiTheme="majorHAnsi" w:hAnsiTheme="majorHAnsi" w:cstheme="majorHAnsi"/>
                      <w:sz w:val="26"/>
                      <w:szCs w:val="26"/>
                      <w:lang w:val="it-IT"/>
                    </w:rPr>
                    <w:t xml:space="preserve">Không lớn </w:t>
                  </w:r>
                  <w:r w:rsidRPr="00F965AC">
                    <w:rPr>
                      <w:rFonts w:asciiTheme="majorHAnsi" w:hAnsiTheme="majorHAnsi" w:cstheme="majorHAnsi"/>
                      <w:sz w:val="26"/>
                      <w:szCs w:val="26"/>
                      <w:lang w:val="it-IT"/>
                    </w:rPr>
                    <w:lastRenderedPageBreak/>
                    <w:t>hơn 0,5</w:t>
                  </w:r>
                </w:p>
              </w:tc>
            </w:tr>
            <w:tr w:rsidR="0002530E" w:rsidRPr="00F965AC" w14:paraId="4A9A1261" w14:textId="77777777" w:rsidTr="0031717F">
              <w:tc>
                <w:tcPr>
                  <w:tcW w:w="3008" w:type="dxa"/>
                </w:tcPr>
                <w:p w14:paraId="5EC8EE53" w14:textId="77777777" w:rsidR="0002530E" w:rsidRPr="00F965AC" w:rsidRDefault="0002530E" w:rsidP="0002530E">
                  <w:pPr>
                    <w:widowControl w:val="0"/>
                    <w:spacing w:before="60" w:after="60"/>
                    <w:jc w:val="both"/>
                    <w:rPr>
                      <w:rFonts w:asciiTheme="majorHAnsi" w:hAnsiTheme="majorHAnsi" w:cstheme="majorHAnsi"/>
                      <w:spacing w:val="-10"/>
                      <w:sz w:val="26"/>
                      <w:szCs w:val="26"/>
                    </w:rPr>
                  </w:pPr>
                  <w:r w:rsidRPr="00F965AC">
                    <w:rPr>
                      <w:rFonts w:asciiTheme="majorHAnsi" w:hAnsiTheme="majorHAnsi" w:cstheme="majorHAnsi"/>
                      <w:spacing w:val="-10"/>
                      <w:sz w:val="26"/>
                      <w:szCs w:val="26"/>
                    </w:rPr>
                    <w:lastRenderedPageBreak/>
                    <w:t>2. Khả năng sinh công bằng con lắc xạ thuật (so sánh với TNT tiêu chuẩn)</w:t>
                  </w:r>
                </w:p>
              </w:tc>
              <w:tc>
                <w:tcPr>
                  <w:tcW w:w="992" w:type="dxa"/>
                </w:tcPr>
                <w:p w14:paraId="5D6BDAAA" w14:textId="77777777" w:rsidR="0002530E" w:rsidRPr="00F965AC" w:rsidRDefault="0002530E" w:rsidP="0002530E">
                  <w:pPr>
                    <w:widowControl w:val="0"/>
                    <w:autoSpaceDE w:val="0"/>
                    <w:autoSpaceDN w:val="0"/>
                    <w:adjustRightInd w:val="0"/>
                    <w:spacing w:before="60" w:after="60"/>
                    <w:jc w:val="center"/>
                    <w:rPr>
                      <w:rFonts w:asciiTheme="majorHAnsi" w:hAnsiTheme="majorHAnsi" w:cstheme="majorHAnsi"/>
                      <w:bCs/>
                      <w:sz w:val="26"/>
                      <w:szCs w:val="26"/>
                    </w:rPr>
                  </w:pPr>
                  <w:r w:rsidRPr="00F965AC">
                    <w:rPr>
                      <w:rFonts w:asciiTheme="majorHAnsi" w:hAnsiTheme="majorHAnsi" w:cstheme="majorHAnsi"/>
                      <w:bCs/>
                      <w:iCs/>
                      <w:sz w:val="26"/>
                      <w:szCs w:val="26"/>
                    </w:rPr>
                    <w:t>%</w:t>
                  </w:r>
                </w:p>
              </w:tc>
              <w:tc>
                <w:tcPr>
                  <w:tcW w:w="1700" w:type="dxa"/>
                </w:tcPr>
                <w:p w14:paraId="0DB096E9" w14:textId="77777777" w:rsidR="0002530E" w:rsidRPr="00F965AC" w:rsidRDefault="0002530E" w:rsidP="0002530E">
                  <w:pPr>
                    <w:widowControl w:val="0"/>
                    <w:autoSpaceDE w:val="0"/>
                    <w:autoSpaceDN w:val="0"/>
                    <w:adjustRightInd w:val="0"/>
                    <w:spacing w:before="60" w:after="60"/>
                    <w:jc w:val="center"/>
                    <w:rPr>
                      <w:rFonts w:asciiTheme="majorHAnsi" w:hAnsiTheme="majorHAnsi" w:cstheme="majorHAnsi"/>
                      <w:sz w:val="26"/>
                      <w:szCs w:val="26"/>
                    </w:rPr>
                  </w:pPr>
                  <w:r w:rsidRPr="00F965AC">
                    <w:rPr>
                      <w:rFonts w:asciiTheme="majorHAnsi" w:hAnsiTheme="majorHAnsi" w:cstheme="majorHAnsi"/>
                      <w:sz w:val="26"/>
                      <w:szCs w:val="26"/>
                    </w:rPr>
                    <w:t>Không nhỏ hơn 115</w:t>
                  </w:r>
                </w:p>
              </w:tc>
            </w:tr>
            <w:tr w:rsidR="0002530E" w:rsidRPr="00F965AC" w14:paraId="3C345D12" w14:textId="77777777" w:rsidTr="0031717F">
              <w:tc>
                <w:tcPr>
                  <w:tcW w:w="3008" w:type="dxa"/>
                </w:tcPr>
                <w:p w14:paraId="45CEB584" w14:textId="77777777" w:rsidR="0002530E" w:rsidRPr="00F965AC" w:rsidRDefault="0002530E" w:rsidP="0002530E">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3. Tốc độ nổ:</w:t>
                  </w:r>
                </w:p>
                <w:p w14:paraId="26166AD0" w14:textId="77777777" w:rsidR="0002530E" w:rsidRPr="00F965AC" w:rsidRDefault="0002530E" w:rsidP="0002530E">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 Ở mật độ 1,2 g/cm</w:t>
                  </w:r>
                  <w:r w:rsidRPr="00F965AC">
                    <w:rPr>
                      <w:rFonts w:asciiTheme="majorHAnsi" w:hAnsiTheme="majorHAnsi" w:cstheme="majorHAnsi"/>
                      <w:sz w:val="26"/>
                      <w:szCs w:val="26"/>
                      <w:vertAlign w:val="superscript"/>
                    </w:rPr>
                    <w:t>3</w:t>
                  </w:r>
                </w:p>
                <w:p w14:paraId="1932A170" w14:textId="450C6995" w:rsidR="0002530E" w:rsidRPr="00F965AC" w:rsidRDefault="0002530E" w:rsidP="0002530E">
                  <w:pPr>
                    <w:widowControl w:val="0"/>
                    <w:spacing w:before="60" w:after="60"/>
                    <w:jc w:val="both"/>
                    <w:rPr>
                      <w:rFonts w:asciiTheme="majorHAnsi" w:hAnsiTheme="majorHAnsi" w:cstheme="majorHAnsi"/>
                      <w:spacing w:val="-10"/>
                      <w:sz w:val="26"/>
                      <w:szCs w:val="26"/>
                    </w:rPr>
                  </w:pPr>
                  <w:r w:rsidRPr="00F965AC">
                    <w:rPr>
                      <w:rFonts w:asciiTheme="majorHAnsi" w:hAnsiTheme="majorHAnsi" w:cstheme="majorHAnsi"/>
                      <w:sz w:val="26"/>
                      <w:szCs w:val="26"/>
                    </w:rPr>
                    <w:t>- Hoặc ở mật độ 1,5 g/cm</w:t>
                  </w:r>
                  <w:r w:rsidRPr="00F965AC">
                    <w:rPr>
                      <w:rFonts w:asciiTheme="majorHAnsi" w:hAnsiTheme="majorHAnsi" w:cstheme="majorHAnsi"/>
                      <w:sz w:val="26"/>
                      <w:szCs w:val="26"/>
                      <w:vertAlign w:val="superscript"/>
                    </w:rPr>
                    <w:t>3</w:t>
                  </w:r>
                </w:p>
              </w:tc>
              <w:tc>
                <w:tcPr>
                  <w:tcW w:w="992" w:type="dxa"/>
                </w:tcPr>
                <w:p w14:paraId="4667F903" w14:textId="083B3F91" w:rsidR="0002530E" w:rsidRPr="00F965AC" w:rsidRDefault="0002530E" w:rsidP="0002530E">
                  <w:pPr>
                    <w:widowControl w:val="0"/>
                    <w:autoSpaceDE w:val="0"/>
                    <w:autoSpaceDN w:val="0"/>
                    <w:adjustRightInd w:val="0"/>
                    <w:spacing w:before="60" w:after="60"/>
                    <w:jc w:val="center"/>
                    <w:rPr>
                      <w:rFonts w:asciiTheme="majorHAnsi" w:hAnsiTheme="majorHAnsi" w:cstheme="majorHAnsi"/>
                      <w:bCs/>
                      <w:iCs/>
                      <w:sz w:val="26"/>
                      <w:szCs w:val="26"/>
                    </w:rPr>
                  </w:pPr>
                  <w:r w:rsidRPr="00F965AC">
                    <w:rPr>
                      <w:rFonts w:asciiTheme="majorHAnsi" w:hAnsiTheme="majorHAnsi" w:cstheme="majorHAnsi"/>
                      <w:bCs/>
                      <w:sz w:val="26"/>
                      <w:szCs w:val="26"/>
                    </w:rPr>
                    <w:t>m/s</w:t>
                  </w:r>
                </w:p>
              </w:tc>
              <w:tc>
                <w:tcPr>
                  <w:tcW w:w="1700" w:type="dxa"/>
                </w:tcPr>
                <w:p w14:paraId="64024742" w14:textId="77777777" w:rsidR="0002530E" w:rsidRPr="00F965AC" w:rsidRDefault="0002530E" w:rsidP="0002530E">
                  <w:pPr>
                    <w:widowControl w:val="0"/>
                    <w:autoSpaceDE w:val="0"/>
                    <w:autoSpaceDN w:val="0"/>
                    <w:adjustRightInd w:val="0"/>
                    <w:spacing w:before="60" w:after="60"/>
                    <w:jc w:val="center"/>
                    <w:rPr>
                      <w:rFonts w:asciiTheme="majorHAnsi" w:hAnsiTheme="majorHAnsi" w:cstheme="majorHAnsi"/>
                      <w:sz w:val="26"/>
                      <w:szCs w:val="26"/>
                    </w:rPr>
                  </w:pPr>
                </w:p>
                <w:p w14:paraId="4674A7E9" w14:textId="77777777" w:rsidR="0002530E" w:rsidRPr="00F965AC" w:rsidRDefault="0002530E" w:rsidP="0002530E">
                  <w:pPr>
                    <w:widowControl w:val="0"/>
                    <w:autoSpaceDE w:val="0"/>
                    <w:autoSpaceDN w:val="0"/>
                    <w:adjustRightInd w:val="0"/>
                    <w:spacing w:before="60" w:after="60"/>
                    <w:jc w:val="center"/>
                    <w:rPr>
                      <w:rFonts w:asciiTheme="majorHAnsi" w:hAnsiTheme="majorHAnsi" w:cstheme="majorHAnsi"/>
                      <w:sz w:val="26"/>
                      <w:szCs w:val="26"/>
                    </w:rPr>
                  </w:pPr>
                  <w:r w:rsidRPr="00F965AC">
                    <w:rPr>
                      <w:rFonts w:asciiTheme="majorHAnsi" w:hAnsiTheme="majorHAnsi" w:cstheme="majorHAnsi"/>
                      <w:sz w:val="26"/>
                      <w:szCs w:val="26"/>
                    </w:rPr>
                    <w:t>Không nhỏ hơn 5 400</w:t>
                  </w:r>
                </w:p>
                <w:p w14:paraId="1DC8D231" w14:textId="045A75EE" w:rsidR="0002530E" w:rsidRPr="00F965AC" w:rsidRDefault="0002530E" w:rsidP="0002530E">
                  <w:pPr>
                    <w:widowControl w:val="0"/>
                    <w:autoSpaceDE w:val="0"/>
                    <w:autoSpaceDN w:val="0"/>
                    <w:adjustRightInd w:val="0"/>
                    <w:spacing w:before="60" w:after="60"/>
                    <w:jc w:val="center"/>
                    <w:rPr>
                      <w:rFonts w:asciiTheme="majorHAnsi" w:hAnsiTheme="majorHAnsi" w:cstheme="majorHAnsi"/>
                      <w:sz w:val="26"/>
                      <w:szCs w:val="26"/>
                    </w:rPr>
                  </w:pPr>
                  <w:r w:rsidRPr="00F965AC">
                    <w:rPr>
                      <w:rFonts w:asciiTheme="majorHAnsi" w:hAnsiTheme="majorHAnsi" w:cstheme="majorHAnsi"/>
                      <w:sz w:val="26"/>
                      <w:szCs w:val="26"/>
                    </w:rPr>
                    <w:t>Không nhỏ hơn 6 700</w:t>
                  </w:r>
                </w:p>
              </w:tc>
            </w:tr>
            <w:tr w:rsidR="0002530E" w:rsidRPr="00F965AC" w14:paraId="3ECC0181" w14:textId="77777777" w:rsidTr="0031717F">
              <w:tc>
                <w:tcPr>
                  <w:tcW w:w="3008" w:type="dxa"/>
                </w:tcPr>
                <w:p w14:paraId="684F6209" w14:textId="1D6AEE99" w:rsidR="0002530E" w:rsidRPr="00F965AC" w:rsidRDefault="0002530E" w:rsidP="0002530E">
                  <w:pPr>
                    <w:widowControl w:val="0"/>
                    <w:spacing w:before="60" w:after="60"/>
                    <w:jc w:val="both"/>
                    <w:rPr>
                      <w:rFonts w:asciiTheme="majorHAnsi" w:hAnsiTheme="majorHAnsi" w:cstheme="majorHAnsi"/>
                      <w:spacing w:val="-10"/>
                      <w:sz w:val="26"/>
                      <w:szCs w:val="26"/>
                    </w:rPr>
                  </w:pPr>
                  <w:r w:rsidRPr="00F965AC">
                    <w:rPr>
                      <w:rFonts w:asciiTheme="majorHAnsi" w:hAnsiTheme="majorHAnsi" w:cstheme="majorHAnsi"/>
                      <w:sz w:val="26"/>
                      <w:szCs w:val="26"/>
                      <w:lang w:val="nl-NL"/>
                    </w:rPr>
                    <w:t>4. Độ nén trụ chì</w:t>
                  </w:r>
                </w:p>
              </w:tc>
              <w:tc>
                <w:tcPr>
                  <w:tcW w:w="992" w:type="dxa"/>
                </w:tcPr>
                <w:p w14:paraId="4870D593" w14:textId="2A5033D5" w:rsidR="0002530E" w:rsidRPr="00F965AC" w:rsidRDefault="0002530E" w:rsidP="0002530E">
                  <w:pPr>
                    <w:widowControl w:val="0"/>
                    <w:autoSpaceDE w:val="0"/>
                    <w:autoSpaceDN w:val="0"/>
                    <w:adjustRightInd w:val="0"/>
                    <w:spacing w:before="60" w:after="60"/>
                    <w:jc w:val="center"/>
                    <w:rPr>
                      <w:rFonts w:asciiTheme="majorHAnsi" w:hAnsiTheme="majorHAnsi" w:cstheme="majorHAnsi"/>
                      <w:bCs/>
                      <w:iCs/>
                      <w:sz w:val="26"/>
                      <w:szCs w:val="26"/>
                    </w:rPr>
                  </w:pPr>
                  <w:r w:rsidRPr="00F965AC">
                    <w:rPr>
                      <w:rFonts w:asciiTheme="majorHAnsi" w:hAnsiTheme="majorHAnsi" w:cstheme="majorHAnsi"/>
                      <w:bCs/>
                      <w:sz w:val="26"/>
                      <w:szCs w:val="26"/>
                    </w:rPr>
                    <w:t>mm</w:t>
                  </w:r>
                </w:p>
              </w:tc>
              <w:tc>
                <w:tcPr>
                  <w:tcW w:w="1700" w:type="dxa"/>
                </w:tcPr>
                <w:p w14:paraId="2BBE4E3B" w14:textId="61E13A75" w:rsidR="0002530E" w:rsidRPr="00F965AC" w:rsidRDefault="0002530E" w:rsidP="0002530E">
                  <w:pPr>
                    <w:widowControl w:val="0"/>
                    <w:autoSpaceDE w:val="0"/>
                    <w:autoSpaceDN w:val="0"/>
                    <w:adjustRightInd w:val="0"/>
                    <w:spacing w:before="60" w:after="60"/>
                    <w:jc w:val="center"/>
                    <w:rPr>
                      <w:rFonts w:asciiTheme="majorHAnsi" w:hAnsiTheme="majorHAnsi" w:cstheme="majorHAnsi"/>
                      <w:sz w:val="26"/>
                      <w:szCs w:val="26"/>
                    </w:rPr>
                  </w:pPr>
                  <w:r w:rsidRPr="00F965AC">
                    <w:rPr>
                      <w:rFonts w:asciiTheme="majorHAnsi" w:hAnsiTheme="majorHAnsi" w:cstheme="majorHAnsi"/>
                      <w:sz w:val="26"/>
                      <w:szCs w:val="26"/>
                    </w:rPr>
                    <w:t>Không nhỏ hơn 20</w:t>
                  </w:r>
                </w:p>
              </w:tc>
            </w:tr>
            <w:tr w:rsidR="0002530E" w:rsidRPr="00F965AC" w14:paraId="7E707F2B" w14:textId="77777777" w:rsidTr="0031717F">
              <w:tc>
                <w:tcPr>
                  <w:tcW w:w="3008" w:type="dxa"/>
                </w:tcPr>
                <w:p w14:paraId="6F06ADF6" w14:textId="3CCB7F52" w:rsidR="0002530E" w:rsidRPr="00F965AC" w:rsidRDefault="0002530E" w:rsidP="0002530E">
                  <w:pPr>
                    <w:widowControl w:val="0"/>
                    <w:spacing w:before="60" w:after="60"/>
                    <w:jc w:val="both"/>
                    <w:rPr>
                      <w:rFonts w:asciiTheme="majorHAnsi" w:hAnsiTheme="majorHAnsi" w:cstheme="majorHAnsi"/>
                      <w:sz w:val="26"/>
                      <w:szCs w:val="26"/>
                      <w:lang w:val="nl-NL"/>
                    </w:rPr>
                  </w:pPr>
                  <w:r w:rsidRPr="00F965AC">
                    <w:rPr>
                      <w:rFonts w:asciiTheme="majorHAnsi" w:hAnsiTheme="majorHAnsi" w:cstheme="majorHAnsi"/>
                      <w:sz w:val="26"/>
                      <w:szCs w:val="26"/>
                    </w:rPr>
                    <w:t>5. Độ nhạy va đập bằng phương pháp Cast</w:t>
                  </w:r>
                </w:p>
              </w:tc>
              <w:tc>
                <w:tcPr>
                  <w:tcW w:w="992" w:type="dxa"/>
                </w:tcPr>
                <w:p w14:paraId="6E4CB405" w14:textId="65E03970" w:rsidR="0002530E" w:rsidRPr="00F965AC" w:rsidRDefault="0002530E" w:rsidP="0002530E">
                  <w:pPr>
                    <w:widowControl w:val="0"/>
                    <w:autoSpaceDE w:val="0"/>
                    <w:autoSpaceDN w:val="0"/>
                    <w:adjustRightInd w:val="0"/>
                    <w:spacing w:before="60" w:after="60"/>
                    <w:jc w:val="center"/>
                    <w:rPr>
                      <w:rFonts w:asciiTheme="majorHAnsi" w:hAnsiTheme="majorHAnsi" w:cstheme="majorHAnsi"/>
                      <w:bCs/>
                      <w:sz w:val="26"/>
                      <w:szCs w:val="26"/>
                    </w:rPr>
                  </w:pPr>
                  <w:r w:rsidRPr="00F965AC">
                    <w:rPr>
                      <w:rFonts w:asciiTheme="majorHAnsi" w:hAnsiTheme="majorHAnsi" w:cstheme="majorHAnsi"/>
                      <w:bCs/>
                      <w:sz w:val="26"/>
                      <w:szCs w:val="26"/>
                    </w:rPr>
                    <w:t>%</w:t>
                  </w:r>
                </w:p>
              </w:tc>
              <w:tc>
                <w:tcPr>
                  <w:tcW w:w="1700" w:type="dxa"/>
                </w:tcPr>
                <w:p w14:paraId="0FA31530" w14:textId="660876EB" w:rsidR="0002530E" w:rsidRPr="00F965AC" w:rsidRDefault="0002530E" w:rsidP="0002530E">
                  <w:pPr>
                    <w:widowControl w:val="0"/>
                    <w:autoSpaceDE w:val="0"/>
                    <w:autoSpaceDN w:val="0"/>
                    <w:adjustRightInd w:val="0"/>
                    <w:spacing w:before="60" w:after="60"/>
                    <w:jc w:val="center"/>
                    <w:rPr>
                      <w:rFonts w:asciiTheme="majorHAnsi" w:hAnsiTheme="majorHAnsi" w:cstheme="majorHAnsi"/>
                      <w:sz w:val="26"/>
                      <w:szCs w:val="26"/>
                    </w:rPr>
                  </w:pPr>
                  <w:r w:rsidRPr="00F965AC">
                    <w:rPr>
                      <w:rFonts w:asciiTheme="majorHAnsi" w:hAnsiTheme="majorHAnsi" w:cstheme="majorHAnsi"/>
                      <w:sz w:val="26"/>
                      <w:szCs w:val="26"/>
                    </w:rPr>
                    <w:t>Không lớn hơn 24</w:t>
                  </w:r>
                </w:p>
              </w:tc>
            </w:tr>
          </w:tbl>
          <w:p w14:paraId="2508D76F" w14:textId="50F9B86F" w:rsidR="0002530E" w:rsidRPr="00F965AC" w:rsidRDefault="0002530E" w:rsidP="0002530E">
            <w:pPr>
              <w:widowControl w:val="0"/>
              <w:shd w:val="clear" w:color="auto" w:fill="FFFFFF"/>
              <w:jc w:val="both"/>
              <w:rPr>
                <w:rFonts w:asciiTheme="majorHAnsi" w:hAnsiTheme="majorHAnsi" w:cstheme="majorHAnsi"/>
                <w:spacing w:val="-2"/>
                <w:sz w:val="26"/>
                <w:szCs w:val="26"/>
                <w:lang w:val="nl-BE"/>
              </w:rPr>
            </w:pPr>
          </w:p>
        </w:tc>
        <w:tc>
          <w:tcPr>
            <w:tcW w:w="5245" w:type="dxa"/>
          </w:tcPr>
          <w:p w14:paraId="0AF676CD" w14:textId="77777777" w:rsidR="0002530E" w:rsidRPr="0031717F" w:rsidRDefault="0031717F" w:rsidP="0002530E">
            <w:pPr>
              <w:snapToGrid w:val="0"/>
              <w:jc w:val="both"/>
              <w:rPr>
                <w:sz w:val="26"/>
                <w:szCs w:val="26"/>
                <w:bdr w:val="none" w:sz="0" w:space="0" w:color="auto" w:frame="1"/>
                <w:shd w:val="clear" w:color="auto" w:fill="FFFFFF"/>
                <w:lang w:val="en-US"/>
              </w:rPr>
            </w:pPr>
            <w:r w:rsidRPr="0031717F">
              <w:rPr>
                <w:sz w:val="26"/>
                <w:szCs w:val="26"/>
              </w:rPr>
              <w:lastRenderedPageBreak/>
              <w:t>Thuốc nổ hỗn hợp của các loại thuốc nổ mạnh đơn chất là hỗn hợp giữa thuốc nổ Trinitrotoluen (TNT)</w:t>
            </w:r>
            <w:r w:rsidRPr="0031717F">
              <w:rPr>
                <w:sz w:val="26"/>
                <w:szCs w:val="26"/>
                <w:bdr w:val="none" w:sz="0" w:space="0" w:color="auto" w:frame="1"/>
                <w:shd w:val="clear" w:color="auto" w:fill="FFFFFF"/>
              </w:rPr>
              <w:t xml:space="preserve"> với một trong các loại thuốc nổ Hexogen hoặc Octogen hoặc Pentrit và các phụ gia khác và các thuốc nổ không có phản ứng hóa học với nhau. Theo đó, về cơ bản các chỉ tiêu kỹ thuật được kế thừa của thuốc nổ TNT và một số chỉ tiêu đặc trưng của 03 thuốc nổ còn lại</w:t>
            </w:r>
            <w:r w:rsidRPr="0031717F">
              <w:rPr>
                <w:sz w:val="26"/>
                <w:szCs w:val="26"/>
                <w:bdr w:val="none" w:sz="0" w:space="0" w:color="auto" w:frame="1"/>
                <w:shd w:val="clear" w:color="auto" w:fill="FFFFFF"/>
                <w:lang w:val="en-US"/>
              </w:rPr>
              <w:t xml:space="preserve">, cụ thể: </w:t>
            </w:r>
          </w:p>
          <w:p w14:paraId="2C38477A" w14:textId="77777777" w:rsidR="0031717F" w:rsidRPr="0031717F" w:rsidRDefault="0031717F" w:rsidP="0031717F">
            <w:pPr>
              <w:widowControl w:val="0"/>
              <w:shd w:val="clear" w:color="auto" w:fill="FFFFFF"/>
              <w:rPr>
                <w:bCs/>
                <w:sz w:val="26"/>
                <w:szCs w:val="26"/>
              </w:rPr>
            </w:pPr>
            <w:r w:rsidRPr="0031717F">
              <w:rPr>
                <w:sz w:val="26"/>
                <w:szCs w:val="26"/>
              </w:rPr>
              <w:t>- Về h</w:t>
            </w:r>
            <w:r w:rsidRPr="0031717F">
              <w:rPr>
                <w:bCs/>
                <w:sz w:val="26"/>
                <w:szCs w:val="26"/>
              </w:rPr>
              <w:t>àm lượng nước và các chất dễ bay hơi: Trong 04 loại thuốc nổ mạnh (</w:t>
            </w:r>
            <w:r w:rsidRPr="0031717F">
              <w:rPr>
                <w:sz w:val="26"/>
                <w:szCs w:val="26"/>
              </w:rPr>
              <w:t xml:space="preserve">TNT, </w:t>
            </w:r>
            <w:r w:rsidRPr="0031717F">
              <w:rPr>
                <w:sz w:val="26"/>
                <w:szCs w:val="26"/>
                <w:bdr w:val="none" w:sz="0" w:space="0" w:color="auto" w:frame="1"/>
                <w:shd w:val="clear" w:color="auto" w:fill="FFFFFF"/>
              </w:rPr>
              <w:t xml:space="preserve">Hexogen, </w:t>
            </w:r>
            <w:r w:rsidRPr="0031717F">
              <w:rPr>
                <w:sz w:val="26"/>
                <w:szCs w:val="26"/>
                <w:bdr w:val="none" w:sz="0" w:space="0" w:color="auto" w:frame="1"/>
                <w:shd w:val="clear" w:color="auto" w:fill="FFFFFF"/>
              </w:rPr>
              <w:lastRenderedPageBreak/>
              <w:t xml:space="preserve">Octogen, Pentrit) chỉ có thuốc nổ TNT được quy định chỉ tiêu kỹ thuật </w:t>
            </w:r>
            <w:r w:rsidRPr="0031717F">
              <w:rPr>
                <w:sz w:val="26"/>
                <w:szCs w:val="26"/>
              </w:rPr>
              <w:t>h</w:t>
            </w:r>
            <w:r w:rsidRPr="0031717F">
              <w:rPr>
                <w:bCs/>
                <w:sz w:val="26"/>
                <w:szCs w:val="26"/>
              </w:rPr>
              <w:t xml:space="preserve">àm lượng nước và các chất dễ bay hơi, theo đó đề xuất quy định chỉ tiêu </w:t>
            </w:r>
            <w:r w:rsidRPr="0031717F">
              <w:rPr>
                <w:sz w:val="26"/>
                <w:szCs w:val="26"/>
              </w:rPr>
              <w:t>h</w:t>
            </w:r>
            <w:r w:rsidRPr="0031717F">
              <w:rPr>
                <w:bCs/>
                <w:sz w:val="26"/>
                <w:szCs w:val="26"/>
              </w:rPr>
              <w:t>àm lượng nước và các chất dễ bay hơi của t</w:t>
            </w:r>
            <w:r w:rsidRPr="0031717F">
              <w:rPr>
                <w:sz w:val="26"/>
                <w:szCs w:val="26"/>
              </w:rPr>
              <w:t>huốc nổ hỗn hợp của các loại thuốc nổ mạnh đơn chất tương ứng với thuốc nổ TNT: Không lớn hơn 0,1%.</w:t>
            </w:r>
          </w:p>
          <w:p w14:paraId="061AE539" w14:textId="77777777" w:rsidR="0031717F" w:rsidRPr="0031717F" w:rsidRDefault="0031717F" w:rsidP="0031717F">
            <w:pPr>
              <w:widowControl w:val="0"/>
              <w:shd w:val="clear" w:color="auto" w:fill="FFFFFF"/>
              <w:rPr>
                <w:sz w:val="26"/>
                <w:szCs w:val="26"/>
              </w:rPr>
            </w:pPr>
            <w:r w:rsidRPr="0031717F">
              <w:rPr>
                <w:bCs/>
                <w:sz w:val="26"/>
                <w:szCs w:val="26"/>
              </w:rPr>
              <w:t>- Về k</w:t>
            </w:r>
            <w:r w:rsidRPr="0031717F">
              <w:rPr>
                <w:sz w:val="26"/>
                <w:szCs w:val="26"/>
              </w:rPr>
              <w:t xml:space="preserve">hả năng sinh công bằng con lắc xạ thuật (so sánh với TNT tiêu chuẩn): Thuốc nổ hỗn hợp của các loại thuốc nổ mạnh đơn chất là nguyên liệu để sản xuất mồi nổ dùng cho thuốc nổ công nghiệp hoặc mồi nổ tăng cường, vì vậy đề xuất sử dụng chi tiêu kỹ thuật </w:t>
            </w:r>
            <w:r w:rsidRPr="0031717F">
              <w:rPr>
                <w:bCs/>
                <w:sz w:val="26"/>
                <w:szCs w:val="26"/>
              </w:rPr>
              <w:t>k</w:t>
            </w:r>
            <w:r w:rsidRPr="0031717F">
              <w:rPr>
                <w:sz w:val="26"/>
                <w:szCs w:val="26"/>
              </w:rPr>
              <w:t>hả năng sinh công bằng con lắc xạ thuật (so sánh với TNT tiêu chuẩn) tương đương với mồi nổ tăng cường: Không nhỏ hơn 115 %.</w:t>
            </w:r>
          </w:p>
          <w:p w14:paraId="50D85D46" w14:textId="77777777" w:rsidR="0031717F" w:rsidRPr="0031717F" w:rsidRDefault="0031717F" w:rsidP="0031717F">
            <w:pPr>
              <w:widowControl w:val="0"/>
              <w:rPr>
                <w:sz w:val="26"/>
                <w:szCs w:val="26"/>
              </w:rPr>
            </w:pPr>
            <w:r w:rsidRPr="0031717F">
              <w:rPr>
                <w:sz w:val="26"/>
                <w:szCs w:val="26"/>
              </w:rPr>
              <w:t>- Về tốc độ nổ ở mật độ 1,2 g/cm</w:t>
            </w:r>
            <w:r w:rsidRPr="0031717F">
              <w:rPr>
                <w:sz w:val="26"/>
                <w:szCs w:val="26"/>
                <w:vertAlign w:val="superscript"/>
              </w:rPr>
              <w:t>3</w:t>
            </w:r>
            <w:r w:rsidRPr="0031717F">
              <w:rPr>
                <w:sz w:val="26"/>
                <w:szCs w:val="26"/>
              </w:rPr>
              <w:t xml:space="preserve">: </w:t>
            </w:r>
            <w:r w:rsidRPr="0031717F">
              <w:rPr>
                <w:bCs/>
                <w:sz w:val="26"/>
                <w:szCs w:val="26"/>
              </w:rPr>
              <w:t>Trong 04 loại thuốc nổ mạnh (</w:t>
            </w:r>
            <w:r w:rsidRPr="0031717F">
              <w:rPr>
                <w:sz w:val="26"/>
                <w:szCs w:val="26"/>
              </w:rPr>
              <w:t xml:space="preserve">TNT, </w:t>
            </w:r>
            <w:r w:rsidRPr="0031717F">
              <w:rPr>
                <w:sz w:val="26"/>
                <w:szCs w:val="26"/>
                <w:bdr w:val="none" w:sz="0" w:space="0" w:color="auto" w:frame="1"/>
                <w:shd w:val="clear" w:color="auto" w:fill="FFFFFF"/>
              </w:rPr>
              <w:t xml:space="preserve">Hexogen, Octogen, Pentrit), thuốc nổ TNT có tốc độ nổ thấp nhát và thông qua kết quả thử nghiệm </w:t>
            </w:r>
            <w:r w:rsidRPr="0031717F">
              <w:rPr>
                <w:i/>
                <w:sz w:val="26"/>
                <w:szCs w:val="26"/>
                <w:bdr w:val="none" w:sz="0" w:space="0" w:color="auto" w:frame="1"/>
                <w:shd w:val="clear" w:color="auto" w:fill="FFFFFF"/>
              </w:rPr>
              <w:t>(kết quả thử nghiệm ngày 23 tháng 7 năm 2025 kèm theo thuyết minh)</w:t>
            </w:r>
            <w:r w:rsidRPr="0031717F">
              <w:rPr>
                <w:sz w:val="26"/>
                <w:szCs w:val="26"/>
                <w:bdr w:val="none" w:sz="0" w:space="0" w:color="auto" w:frame="1"/>
                <w:shd w:val="clear" w:color="auto" w:fill="FFFFFF"/>
              </w:rPr>
              <w:t xml:space="preserve">, </w:t>
            </w:r>
            <w:r w:rsidRPr="0031717F">
              <w:rPr>
                <w:sz w:val="26"/>
                <w:szCs w:val="26"/>
              </w:rPr>
              <w:t>đề xuất sử dụng chi tiêu kỹ thuật tốc độ nổ ở mật độ 1,2 g/cm</w:t>
            </w:r>
            <w:r w:rsidRPr="0031717F">
              <w:rPr>
                <w:sz w:val="26"/>
                <w:szCs w:val="26"/>
                <w:vertAlign w:val="superscript"/>
              </w:rPr>
              <w:t>3</w:t>
            </w:r>
            <w:r w:rsidRPr="0031717F">
              <w:rPr>
                <w:sz w:val="26"/>
                <w:szCs w:val="26"/>
              </w:rPr>
              <w:t>: Không nhỏ hơn 5 400 mm/s.</w:t>
            </w:r>
          </w:p>
          <w:p w14:paraId="177F2EA8" w14:textId="77777777" w:rsidR="0031717F" w:rsidRPr="0031717F" w:rsidRDefault="0031717F" w:rsidP="0031717F">
            <w:pPr>
              <w:widowControl w:val="0"/>
              <w:shd w:val="clear" w:color="auto" w:fill="FFFFFF"/>
              <w:rPr>
                <w:sz w:val="26"/>
                <w:szCs w:val="26"/>
              </w:rPr>
            </w:pPr>
            <w:r w:rsidRPr="0031717F">
              <w:rPr>
                <w:sz w:val="26"/>
                <w:szCs w:val="26"/>
              </w:rPr>
              <w:t>- Về tốc độ nổ ở mật độ 1,5 g/cm</w:t>
            </w:r>
            <w:r w:rsidRPr="0031717F">
              <w:rPr>
                <w:sz w:val="26"/>
                <w:szCs w:val="26"/>
                <w:vertAlign w:val="superscript"/>
              </w:rPr>
              <w:t>3</w:t>
            </w:r>
            <w:r w:rsidRPr="0031717F">
              <w:rPr>
                <w:sz w:val="26"/>
                <w:szCs w:val="26"/>
              </w:rPr>
              <w:t xml:space="preserve">: </w:t>
            </w:r>
            <w:r w:rsidRPr="0031717F">
              <w:rPr>
                <w:bCs/>
                <w:sz w:val="26"/>
                <w:szCs w:val="26"/>
              </w:rPr>
              <w:t>Trong 04 loại thuốc nổ mạnh (</w:t>
            </w:r>
            <w:r w:rsidRPr="0031717F">
              <w:rPr>
                <w:sz w:val="26"/>
                <w:szCs w:val="26"/>
              </w:rPr>
              <w:t xml:space="preserve">TNT, </w:t>
            </w:r>
            <w:r w:rsidRPr="0031717F">
              <w:rPr>
                <w:sz w:val="26"/>
                <w:szCs w:val="26"/>
                <w:bdr w:val="none" w:sz="0" w:space="0" w:color="auto" w:frame="1"/>
                <w:shd w:val="clear" w:color="auto" w:fill="FFFFFF"/>
              </w:rPr>
              <w:t xml:space="preserve">Hexogen, Octogen, Pentrit), thuốc nổ TNT có tốc độ nổ thấp nhát và thông qua kết quả thử nghiệm </w:t>
            </w:r>
            <w:r w:rsidRPr="0031717F">
              <w:rPr>
                <w:i/>
                <w:sz w:val="26"/>
                <w:szCs w:val="26"/>
                <w:bdr w:val="none" w:sz="0" w:space="0" w:color="auto" w:frame="1"/>
                <w:shd w:val="clear" w:color="auto" w:fill="FFFFFF"/>
              </w:rPr>
              <w:t xml:space="preserve">(kết quả thử </w:t>
            </w:r>
            <w:r w:rsidRPr="0031717F">
              <w:rPr>
                <w:i/>
                <w:sz w:val="26"/>
                <w:szCs w:val="26"/>
                <w:bdr w:val="none" w:sz="0" w:space="0" w:color="auto" w:frame="1"/>
                <w:shd w:val="clear" w:color="auto" w:fill="FFFFFF"/>
              </w:rPr>
              <w:lastRenderedPageBreak/>
              <w:t>nghiệm ngày 23 tháng 7 năm 2025 của Trung tâm Vật liệu nổ công nghiệp - MICCO kèm theo thuyết minh)</w:t>
            </w:r>
            <w:r w:rsidRPr="0031717F">
              <w:rPr>
                <w:sz w:val="26"/>
                <w:szCs w:val="26"/>
                <w:bdr w:val="none" w:sz="0" w:space="0" w:color="auto" w:frame="1"/>
                <w:shd w:val="clear" w:color="auto" w:fill="FFFFFF"/>
              </w:rPr>
              <w:t xml:space="preserve">, </w:t>
            </w:r>
            <w:r w:rsidRPr="0031717F">
              <w:rPr>
                <w:sz w:val="26"/>
                <w:szCs w:val="26"/>
              </w:rPr>
              <w:t>đề xuất sử dụng chi tiêu kỹ thuật tốc độ nổ ở mật độ 1,2 g/cm</w:t>
            </w:r>
            <w:r w:rsidRPr="0031717F">
              <w:rPr>
                <w:sz w:val="26"/>
                <w:szCs w:val="26"/>
                <w:vertAlign w:val="superscript"/>
              </w:rPr>
              <w:t>3</w:t>
            </w:r>
            <w:r w:rsidRPr="0031717F">
              <w:rPr>
                <w:sz w:val="26"/>
                <w:szCs w:val="26"/>
              </w:rPr>
              <w:t>: Không nhỏ hơn 6 700 mm/s.</w:t>
            </w:r>
          </w:p>
          <w:p w14:paraId="052DAFE9" w14:textId="77777777" w:rsidR="0031717F" w:rsidRPr="0031717F" w:rsidRDefault="0031717F" w:rsidP="0031717F">
            <w:pPr>
              <w:widowControl w:val="0"/>
              <w:shd w:val="clear" w:color="auto" w:fill="FFFFFF"/>
              <w:rPr>
                <w:sz w:val="26"/>
                <w:szCs w:val="26"/>
                <w:lang w:val="nl-NL"/>
              </w:rPr>
            </w:pPr>
            <w:r w:rsidRPr="0031717F">
              <w:rPr>
                <w:sz w:val="26"/>
                <w:szCs w:val="26"/>
              </w:rPr>
              <w:t xml:space="preserve">- </w:t>
            </w:r>
            <w:r w:rsidRPr="0031717F">
              <w:rPr>
                <w:sz w:val="26"/>
                <w:szCs w:val="26"/>
                <w:lang w:val="nl-NL"/>
              </w:rPr>
              <w:t xml:space="preserve">Độ nén trụ chì: </w:t>
            </w:r>
            <w:r w:rsidRPr="0031717F">
              <w:rPr>
                <w:sz w:val="26"/>
                <w:szCs w:val="26"/>
              </w:rPr>
              <w:t xml:space="preserve">Thuốc nổ hỗn hợp của các loại thuốc nổ mạnh đơn chất là nguyên liệu để sản xuất mồi nổ dùng cho thuốc nổ công nghiệp hoặc mồi nổ tăng cường. Ngoài ra, qua kết quả thử nghiệm đối với một số mẫu do Nhà máy Z113 sản xuất phục vụ đề tài Nghiên cứu thuốc nổ hỗn hợp (TR-40, TR-50, TR-60) đã được Bộ Công Thương nghiệm thu năm 2024 </w:t>
            </w:r>
            <w:r w:rsidRPr="0031717F">
              <w:rPr>
                <w:i/>
                <w:sz w:val="26"/>
                <w:szCs w:val="26"/>
                <w:bdr w:val="none" w:sz="0" w:space="0" w:color="auto" w:frame="1"/>
                <w:shd w:val="clear" w:color="auto" w:fill="FFFFFF"/>
              </w:rPr>
              <w:t>(kết quả thử nghiệm ngày 22 tháng 7 năm 2024 kèm theo thuyết minh)</w:t>
            </w:r>
            <w:r w:rsidRPr="0031717F">
              <w:rPr>
                <w:sz w:val="26"/>
                <w:szCs w:val="26"/>
              </w:rPr>
              <w:t xml:space="preserve">, đề xuất sử dụng chi tiêu kỹ thuật </w:t>
            </w:r>
            <w:r w:rsidRPr="0031717F">
              <w:rPr>
                <w:bCs/>
                <w:sz w:val="26"/>
                <w:szCs w:val="26"/>
              </w:rPr>
              <w:t>độ nén trụ chì</w:t>
            </w:r>
            <w:r w:rsidRPr="0031717F">
              <w:rPr>
                <w:sz w:val="26"/>
                <w:szCs w:val="26"/>
              </w:rPr>
              <w:t>: Không nhỏ hơn 20 mm.</w:t>
            </w:r>
          </w:p>
          <w:p w14:paraId="5F3D81E2" w14:textId="77A70B01" w:rsidR="0031717F" w:rsidRPr="0031717F" w:rsidRDefault="0031717F" w:rsidP="0031717F">
            <w:pPr>
              <w:snapToGrid w:val="0"/>
              <w:jc w:val="both"/>
              <w:rPr>
                <w:rFonts w:asciiTheme="majorHAnsi" w:hAnsiTheme="majorHAnsi" w:cstheme="majorHAnsi"/>
                <w:bCs/>
                <w:color w:val="000000"/>
                <w:sz w:val="26"/>
                <w:szCs w:val="26"/>
                <w:lang w:val="en-US"/>
              </w:rPr>
            </w:pPr>
            <w:r w:rsidRPr="0031717F">
              <w:rPr>
                <w:sz w:val="26"/>
                <w:szCs w:val="26"/>
              </w:rPr>
              <w:t xml:space="preserve">- Độ nhạy va đập bằng phương pháp Cast: Qua kết quả thử nghiệm đối với một số mẫu do Nhà máy Z113 sản xuất phục vụ đề tài Nghiên cứu thuốc nổ hỗn hợp (TR-40, TR-50, TR-60) đã được Bộ Công Thương nghiệm thu năm 2024 </w:t>
            </w:r>
            <w:r w:rsidRPr="0031717F">
              <w:rPr>
                <w:i/>
                <w:sz w:val="26"/>
                <w:szCs w:val="26"/>
                <w:bdr w:val="none" w:sz="0" w:space="0" w:color="auto" w:frame="1"/>
                <w:shd w:val="clear" w:color="auto" w:fill="FFFFFF"/>
              </w:rPr>
              <w:t>(kết quả thử nghiệm ngày 22 tháng 7 năm 2024 kèm theo thuyết minh)</w:t>
            </w:r>
            <w:r w:rsidRPr="0031717F">
              <w:rPr>
                <w:sz w:val="26"/>
                <w:szCs w:val="26"/>
              </w:rPr>
              <w:t xml:space="preserve">, đề xuất sử dụng chi tiêu kỹ thuật </w:t>
            </w:r>
            <w:r w:rsidRPr="0031717F">
              <w:rPr>
                <w:bCs/>
                <w:sz w:val="26"/>
                <w:szCs w:val="26"/>
              </w:rPr>
              <w:t xml:space="preserve">độ nhạy va đập </w:t>
            </w:r>
            <w:r w:rsidRPr="0031717F">
              <w:rPr>
                <w:sz w:val="26"/>
                <w:szCs w:val="26"/>
              </w:rPr>
              <w:t>đập bằng phương pháp Cast: Không nhỏ hơn 20 mm</w:t>
            </w:r>
            <w:r>
              <w:rPr>
                <w:sz w:val="26"/>
                <w:szCs w:val="26"/>
                <w:lang w:val="en-US"/>
              </w:rPr>
              <w:t>.</w:t>
            </w:r>
          </w:p>
        </w:tc>
      </w:tr>
      <w:tr w:rsidR="0002530E" w:rsidRPr="00BA5387" w14:paraId="5EF28BA9" w14:textId="77777777" w:rsidTr="00E86916">
        <w:trPr>
          <w:trHeight w:val="125"/>
        </w:trPr>
        <w:tc>
          <w:tcPr>
            <w:tcW w:w="3431" w:type="dxa"/>
          </w:tcPr>
          <w:p w14:paraId="59E2A4DC" w14:textId="24E08CB4" w:rsidR="0002530E" w:rsidRPr="00F965AC" w:rsidRDefault="0002530E" w:rsidP="0002530E">
            <w:pPr>
              <w:widowControl w:val="0"/>
              <w:shd w:val="clear" w:color="auto" w:fill="FFFFFF"/>
              <w:jc w:val="both"/>
              <w:rPr>
                <w:rFonts w:asciiTheme="majorHAnsi" w:hAnsiTheme="majorHAnsi" w:cstheme="majorHAnsi"/>
                <w:sz w:val="26"/>
                <w:szCs w:val="26"/>
                <w:lang w:val="en-US"/>
              </w:rPr>
            </w:pPr>
          </w:p>
        </w:tc>
        <w:tc>
          <w:tcPr>
            <w:tcW w:w="5812" w:type="dxa"/>
          </w:tcPr>
          <w:p w14:paraId="28EC7BE4" w14:textId="77777777" w:rsidR="0002530E" w:rsidRPr="00F965AC" w:rsidRDefault="0002530E" w:rsidP="0002530E">
            <w:pPr>
              <w:widowControl w:val="0"/>
              <w:shd w:val="clear" w:color="auto" w:fill="FFFFFF"/>
              <w:spacing w:before="60" w:after="60"/>
              <w:jc w:val="both"/>
              <w:rPr>
                <w:rFonts w:asciiTheme="majorHAnsi" w:hAnsiTheme="majorHAnsi" w:cstheme="majorHAnsi"/>
                <w:b/>
                <w:sz w:val="26"/>
                <w:szCs w:val="26"/>
              </w:rPr>
            </w:pPr>
            <w:r w:rsidRPr="00F965AC">
              <w:rPr>
                <w:rFonts w:asciiTheme="majorHAnsi" w:hAnsiTheme="majorHAnsi" w:cstheme="majorHAnsi"/>
                <w:b/>
                <w:sz w:val="26"/>
                <w:szCs w:val="26"/>
              </w:rPr>
              <w:t>6. Đóng gói, bảo quản</w:t>
            </w:r>
          </w:p>
          <w:p w14:paraId="1359A1B0" w14:textId="77777777" w:rsidR="0002530E" w:rsidRPr="00F965AC" w:rsidRDefault="0002530E" w:rsidP="0002530E">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shd w:val="clear" w:color="auto" w:fill="FFFFFF"/>
              </w:rPr>
              <w:t>6.1.</w:t>
            </w:r>
            <w:r w:rsidRPr="00F965AC">
              <w:rPr>
                <w:rFonts w:asciiTheme="majorHAnsi" w:hAnsiTheme="majorHAnsi" w:cstheme="majorHAnsi"/>
                <w:bCs/>
                <w:sz w:val="26"/>
                <w:szCs w:val="26"/>
              </w:rPr>
              <w:t xml:space="preserve"> Đóng gói: </w:t>
            </w:r>
            <w:r w:rsidRPr="00F965AC">
              <w:rPr>
                <w:rFonts w:asciiTheme="majorHAnsi" w:hAnsiTheme="majorHAnsi" w:cstheme="majorHAnsi"/>
                <w:sz w:val="26"/>
                <w:szCs w:val="26"/>
              </w:rPr>
              <w:t xml:space="preserve">Thuốc nổ hỗn hợp của các loại thuốc </w:t>
            </w:r>
            <w:r w:rsidRPr="00F965AC">
              <w:rPr>
                <w:rFonts w:asciiTheme="majorHAnsi" w:hAnsiTheme="majorHAnsi" w:cstheme="majorHAnsi"/>
                <w:sz w:val="26"/>
                <w:szCs w:val="26"/>
              </w:rPr>
              <w:lastRenderedPageBreak/>
              <w:t>nổ mạnh đơn chất được đóng thỏi, bánh hoặc dạng rời</w:t>
            </w:r>
          </w:p>
          <w:p w14:paraId="709C97D4" w14:textId="77777777" w:rsidR="0002530E" w:rsidRPr="00F965AC" w:rsidRDefault="0002530E" w:rsidP="0002530E">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6.2. Bảo quản:</w:t>
            </w:r>
          </w:p>
          <w:p w14:paraId="42799760" w14:textId="77777777" w:rsidR="0002530E" w:rsidRPr="00F965AC" w:rsidRDefault="0002530E" w:rsidP="0002530E">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6.2.1. Thuốc nổ hỗn hợp của các loại thuốc nổ mạnh đơn chất dạng thỏi hoặc bánh được bảo quản trong túi Poly Etylen (PE) hàn kín hoặc buộc kín, đóng vào hộp giấy carton hoặc trong bao Poly Propylen (PP).</w:t>
            </w:r>
          </w:p>
          <w:p w14:paraId="66DB792A" w14:textId="4DB1255A" w:rsidR="0002530E" w:rsidRPr="00F965AC" w:rsidRDefault="0002530E" w:rsidP="0002530E">
            <w:pPr>
              <w:snapToGrid w:val="0"/>
              <w:jc w:val="both"/>
              <w:rPr>
                <w:rFonts w:asciiTheme="majorHAnsi" w:hAnsiTheme="majorHAnsi" w:cstheme="majorHAnsi"/>
                <w:bCs/>
                <w:spacing w:val="-2"/>
                <w:sz w:val="26"/>
                <w:szCs w:val="26"/>
                <w:lang w:val="en-US"/>
              </w:rPr>
            </w:pPr>
            <w:r w:rsidRPr="00F965AC">
              <w:rPr>
                <w:rFonts w:asciiTheme="majorHAnsi" w:hAnsiTheme="majorHAnsi" w:cstheme="majorHAnsi"/>
                <w:sz w:val="26"/>
                <w:szCs w:val="26"/>
              </w:rPr>
              <w:t>6.2.2. Thuốc nổ hỗn hợp của các loại thuốc nổ mạnh đơn chất dạng rời được bao gói bằng túi giấy kraff trong cùng, bên ngoài là màng PE, lớp ngoài cùng là màng PP.</w:t>
            </w:r>
          </w:p>
        </w:tc>
        <w:tc>
          <w:tcPr>
            <w:tcW w:w="5245" w:type="dxa"/>
          </w:tcPr>
          <w:p w14:paraId="0CC43A05" w14:textId="51A635E1" w:rsidR="0002530E" w:rsidRPr="00F965AC" w:rsidRDefault="0031717F" w:rsidP="0002530E">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lastRenderedPageBreak/>
              <w:t>Quy định đóng gói, bảo quản để đảm bảo chất lượng sản phẩm</w:t>
            </w:r>
            <w:r w:rsidR="005E77FE">
              <w:rPr>
                <w:rFonts w:asciiTheme="majorHAnsi" w:hAnsiTheme="majorHAnsi" w:cstheme="majorHAnsi"/>
                <w:bCs/>
                <w:color w:val="000000"/>
                <w:sz w:val="26"/>
                <w:szCs w:val="26"/>
                <w:lang w:val="en-US"/>
              </w:rPr>
              <w:t>.</w:t>
            </w:r>
            <w:r>
              <w:rPr>
                <w:rFonts w:asciiTheme="majorHAnsi" w:hAnsiTheme="majorHAnsi" w:cstheme="majorHAnsi"/>
                <w:bCs/>
                <w:color w:val="000000"/>
                <w:sz w:val="26"/>
                <w:szCs w:val="26"/>
                <w:lang w:val="en-US"/>
              </w:rPr>
              <w:t xml:space="preserve"> </w:t>
            </w:r>
          </w:p>
        </w:tc>
      </w:tr>
      <w:tr w:rsidR="0002530E" w:rsidRPr="00BA5387" w14:paraId="65B145A2" w14:textId="77777777" w:rsidTr="00E86916">
        <w:trPr>
          <w:trHeight w:val="125"/>
        </w:trPr>
        <w:tc>
          <w:tcPr>
            <w:tcW w:w="3431" w:type="dxa"/>
          </w:tcPr>
          <w:p w14:paraId="585D6D75" w14:textId="77777777" w:rsidR="0002530E" w:rsidRPr="00F965AC" w:rsidRDefault="0002530E" w:rsidP="0002530E">
            <w:pPr>
              <w:widowControl w:val="0"/>
              <w:shd w:val="clear" w:color="auto" w:fill="FFFFFF"/>
              <w:jc w:val="both"/>
              <w:rPr>
                <w:rFonts w:asciiTheme="majorHAnsi" w:hAnsiTheme="majorHAnsi" w:cstheme="majorHAnsi"/>
                <w:sz w:val="26"/>
                <w:szCs w:val="26"/>
                <w:lang w:val="en-US"/>
              </w:rPr>
            </w:pPr>
          </w:p>
        </w:tc>
        <w:tc>
          <w:tcPr>
            <w:tcW w:w="5812" w:type="dxa"/>
          </w:tcPr>
          <w:p w14:paraId="74BD13E6" w14:textId="77777777" w:rsidR="0002530E" w:rsidRPr="00F965AC" w:rsidRDefault="0002530E" w:rsidP="0002530E">
            <w:pPr>
              <w:widowControl w:val="0"/>
              <w:spacing w:before="60" w:after="60"/>
              <w:jc w:val="both"/>
              <w:rPr>
                <w:rFonts w:asciiTheme="majorHAnsi" w:hAnsiTheme="majorHAnsi" w:cstheme="majorHAnsi"/>
                <w:b/>
                <w:sz w:val="26"/>
                <w:szCs w:val="26"/>
              </w:rPr>
            </w:pPr>
            <w:r w:rsidRPr="00F965AC">
              <w:rPr>
                <w:rFonts w:asciiTheme="majorHAnsi" w:hAnsiTheme="majorHAnsi" w:cstheme="majorHAnsi"/>
                <w:b/>
                <w:sz w:val="26"/>
                <w:szCs w:val="26"/>
              </w:rPr>
              <w:t>7. Phương pháp thử</w:t>
            </w:r>
          </w:p>
          <w:p w14:paraId="14B15E3C" w14:textId="77777777" w:rsidR="0002530E" w:rsidRPr="00F965AC" w:rsidRDefault="0002530E" w:rsidP="0002530E">
            <w:pPr>
              <w:widowControl w:val="0"/>
              <w:shd w:val="clear" w:color="auto" w:fill="FFFFFF"/>
              <w:spacing w:before="60" w:after="60"/>
              <w:jc w:val="both"/>
              <w:rPr>
                <w:rFonts w:asciiTheme="majorHAnsi" w:hAnsiTheme="majorHAnsi" w:cstheme="majorHAnsi"/>
                <w:bCs/>
                <w:sz w:val="26"/>
                <w:szCs w:val="26"/>
              </w:rPr>
            </w:pPr>
            <w:r w:rsidRPr="00F965AC">
              <w:rPr>
                <w:rFonts w:asciiTheme="majorHAnsi" w:hAnsiTheme="majorHAnsi" w:cstheme="majorHAnsi"/>
                <w:sz w:val="26"/>
                <w:szCs w:val="26"/>
              </w:rPr>
              <w:t>7.1. Xác định h</w:t>
            </w:r>
            <w:r w:rsidRPr="00F965AC">
              <w:rPr>
                <w:rFonts w:asciiTheme="majorHAnsi" w:hAnsiTheme="majorHAnsi" w:cstheme="majorHAnsi"/>
                <w:bCs/>
                <w:sz w:val="26"/>
                <w:szCs w:val="26"/>
              </w:rPr>
              <w:t>àm lượng nước và các chất dễ bay hơi</w:t>
            </w:r>
          </w:p>
          <w:p w14:paraId="7378EB0D" w14:textId="77777777" w:rsidR="0002530E" w:rsidRPr="00F965AC" w:rsidRDefault="0002530E" w:rsidP="0002530E">
            <w:pPr>
              <w:widowControl w:val="0"/>
              <w:spacing w:before="60" w:after="60"/>
              <w:jc w:val="both"/>
              <w:rPr>
                <w:rFonts w:asciiTheme="majorHAnsi" w:hAnsiTheme="majorHAnsi" w:cstheme="majorHAnsi"/>
                <w:bCs/>
                <w:iCs/>
                <w:sz w:val="26"/>
                <w:szCs w:val="26"/>
                <w:lang w:val="it-IT"/>
              </w:rPr>
            </w:pPr>
            <w:r w:rsidRPr="00F965AC">
              <w:rPr>
                <w:rFonts w:asciiTheme="majorHAnsi" w:hAnsiTheme="majorHAnsi" w:cstheme="majorHAnsi"/>
                <w:bCs/>
                <w:iCs/>
                <w:sz w:val="26"/>
                <w:szCs w:val="26"/>
                <w:lang w:val="it-IT"/>
              </w:rPr>
              <w:t>7.1.1. Nguyên tắc</w:t>
            </w:r>
          </w:p>
          <w:p w14:paraId="00DE47F7" w14:textId="6928B39B" w:rsidR="0002530E" w:rsidRPr="00F965AC" w:rsidRDefault="0002530E" w:rsidP="0002530E">
            <w:pPr>
              <w:pStyle w:val="ListParagraph"/>
              <w:widowControl w:val="0"/>
              <w:spacing w:before="60" w:after="60"/>
              <w:ind w:left="0"/>
              <w:jc w:val="both"/>
              <w:rPr>
                <w:rFonts w:asciiTheme="majorHAnsi" w:hAnsiTheme="majorHAnsi" w:cstheme="majorHAnsi"/>
                <w:sz w:val="26"/>
                <w:szCs w:val="26"/>
              </w:rPr>
            </w:pPr>
            <w:r w:rsidRPr="00F965AC">
              <w:rPr>
                <w:rFonts w:asciiTheme="majorHAnsi" w:hAnsiTheme="majorHAnsi" w:cstheme="majorHAnsi"/>
                <w:sz w:val="26"/>
                <w:szCs w:val="26"/>
              </w:rPr>
              <w:t>H</w:t>
            </w:r>
            <w:r w:rsidRPr="00F965AC">
              <w:rPr>
                <w:rFonts w:asciiTheme="majorHAnsi" w:hAnsiTheme="majorHAnsi" w:cstheme="majorHAnsi"/>
                <w:bCs/>
                <w:sz w:val="26"/>
                <w:szCs w:val="26"/>
              </w:rPr>
              <w:t>àm lượng nước và các chất dễ bay hơi</w:t>
            </w:r>
            <w:r w:rsidRPr="00F965AC">
              <w:rPr>
                <w:rFonts w:asciiTheme="majorHAnsi" w:hAnsiTheme="majorHAnsi" w:cstheme="majorHAnsi"/>
                <w:sz w:val="26"/>
                <w:szCs w:val="26"/>
                <w:shd w:val="clear" w:color="auto" w:fill="FFFFFF"/>
                <w:lang w:val="pt-BR"/>
              </w:rPr>
              <w:t xml:space="preserve"> của thuốc nổ hỗn hợp được xác định dựa trên sự suy giảm khối lượng mẫu sau khi sấy ở nhiệt độ từ 60 °C đến 65 °C trong khoảng từ </w:t>
            </w:r>
            <w:r w:rsidRPr="00F965AC">
              <w:rPr>
                <w:rFonts w:asciiTheme="majorHAnsi" w:hAnsiTheme="majorHAnsi" w:cstheme="majorHAnsi"/>
                <w:sz w:val="26"/>
                <w:szCs w:val="26"/>
              </w:rPr>
              <w:t>4 h đến 6 h.</w:t>
            </w:r>
          </w:p>
          <w:p w14:paraId="6A7B741E" w14:textId="77777777" w:rsidR="0002530E" w:rsidRPr="00F965AC" w:rsidRDefault="0002530E" w:rsidP="0002530E">
            <w:pPr>
              <w:widowControl w:val="0"/>
              <w:spacing w:before="60" w:after="60"/>
              <w:jc w:val="both"/>
              <w:rPr>
                <w:rFonts w:asciiTheme="majorHAnsi" w:hAnsiTheme="majorHAnsi" w:cstheme="majorHAnsi"/>
                <w:bCs/>
                <w:iCs/>
                <w:sz w:val="26"/>
                <w:szCs w:val="26"/>
                <w:lang w:val="it-IT"/>
              </w:rPr>
            </w:pPr>
            <w:r w:rsidRPr="00F965AC">
              <w:rPr>
                <w:rFonts w:asciiTheme="majorHAnsi" w:hAnsiTheme="majorHAnsi" w:cstheme="majorHAnsi"/>
                <w:bCs/>
                <w:iCs/>
                <w:sz w:val="26"/>
                <w:szCs w:val="26"/>
                <w:lang w:val="it-IT"/>
              </w:rPr>
              <w:t>7.1.2. Vật tư, thiết bị, dụng cụ</w:t>
            </w:r>
          </w:p>
          <w:p w14:paraId="1D22953E" w14:textId="77777777" w:rsidR="0002530E" w:rsidRPr="00F965AC" w:rsidRDefault="0002530E" w:rsidP="0002530E">
            <w:pPr>
              <w:pStyle w:val="ListParagraph"/>
              <w:widowControl w:val="0"/>
              <w:spacing w:before="60" w:after="60"/>
              <w:ind w:left="0"/>
              <w:jc w:val="both"/>
              <w:rPr>
                <w:rFonts w:asciiTheme="majorHAnsi" w:hAnsiTheme="majorHAnsi" w:cstheme="majorHAnsi"/>
                <w:bCs/>
                <w:iCs/>
                <w:sz w:val="26"/>
                <w:szCs w:val="26"/>
                <w:lang w:val="it-IT"/>
              </w:rPr>
            </w:pPr>
            <w:r w:rsidRPr="00F965AC">
              <w:rPr>
                <w:rFonts w:asciiTheme="majorHAnsi" w:hAnsiTheme="majorHAnsi" w:cstheme="majorHAnsi"/>
                <w:bCs/>
                <w:iCs/>
                <w:sz w:val="26"/>
                <w:szCs w:val="26"/>
                <w:lang w:val="it-IT"/>
              </w:rPr>
              <w:t xml:space="preserve">7.1.2.1. Thuốc nổ </w:t>
            </w:r>
            <w:r w:rsidRPr="00F965AC">
              <w:rPr>
                <w:rFonts w:asciiTheme="majorHAnsi" w:hAnsiTheme="majorHAnsi" w:cstheme="majorHAnsi"/>
                <w:sz w:val="26"/>
                <w:szCs w:val="26"/>
              </w:rPr>
              <w:t>hỗn hợp của các loại thuốc nổ mạnh đơn chất</w:t>
            </w:r>
            <w:r w:rsidRPr="00F965AC">
              <w:rPr>
                <w:rFonts w:asciiTheme="majorHAnsi" w:hAnsiTheme="majorHAnsi" w:cstheme="majorHAnsi"/>
                <w:bCs/>
                <w:iCs/>
                <w:sz w:val="26"/>
                <w:szCs w:val="26"/>
                <w:lang w:val="it-IT"/>
              </w:rPr>
              <w:t>.</w:t>
            </w:r>
          </w:p>
          <w:p w14:paraId="52C43181" w14:textId="77777777" w:rsidR="0002530E" w:rsidRPr="00F965AC" w:rsidRDefault="0002530E" w:rsidP="0002530E">
            <w:pPr>
              <w:widowControl w:val="0"/>
              <w:spacing w:before="60" w:after="60"/>
              <w:jc w:val="both"/>
              <w:rPr>
                <w:rFonts w:asciiTheme="majorHAnsi" w:hAnsiTheme="majorHAnsi" w:cstheme="majorHAnsi"/>
                <w:bCs/>
                <w:iCs/>
                <w:sz w:val="26"/>
                <w:szCs w:val="26"/>
              </w:rPr>
            </w:pPr>
            <w:r w:rsidRPr="00F965AC">
              <w:rPr>
                <w:rFonts w:asciiTheme="majorHAnsi" w:hAnsiTheme="majorHAnsi" w:cstheme="majorHAnsi"/>
                <w:sz w:val="26"/>
                <w:szCs w:val="26"/>
              </w:rPr>
              <w:t>7.1.2.2. Cân phân tích, độ chính xác 0,0001 g.</w:t>
            </w:r>
          </w:p>
          <w:p w14:paraId="4BAC14BA" w14:textId="77777777" w:rsidR="0002530E" w:rsidRPr="00F965AC" w:rsidRDefault="0002530E" w:rsidP="0002530E">
            <w:pPr>
              <w:pStyle w:val="ListParagraph"/>
              <w:widowControl w:val="0"/>
              <w:spacing w:before="60" w:after="60"/>
              <w:ind w:left="0"/>
              <w:jc w:val="both"/>
              <w:rPr>
                <w:rFonts w:asciiTheme="majorHAnsi" w:hAnsiTheme="majorHAnsi" w:cstheme="majorHAnsi"/>
                <w:sz w:val="26"/>
                <w:szCs w:val="26"/>
              </w:rPr>
            </w:pPr>
            <w:r w:rsidRPr="00F965AC">
              <w:rPr>
                <w:rFonts w:asciiTheme="majorHAnsi" w:hAnsiTheme="majorHAnsi" w:cstheme="majorHAnsi"/>
                <w:sz w:val="26"/>
                <w:szCs w:val="26"/>
              </w:rPr>
              <w:t>7.1.2.3. Tủ sấy, có điều chỉnh nhiệt độ đến 1 °C, sai số 1 °C.</w:t>
            </w:r>
          </w:p>
          <w:p w14:paraId="23A40EDF" w14:textId="77777777" w:rsidR="0002530E" w:rsidRPr="00F965AC" w:rsidRDefault="0002530E" w:rsidP="0002530E">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7.1.2.4. Cốc cân nắp mài Ф (70 x 35) mm.</w:t>
            </w:r>
          </w:p>
          <w:p w14:paraId="67DB38AE" w14:textId="77777777" w:rsidR="0002530E" w:rsidRPr="00F965AC" w:rsidRDefault="0002530E" w:rsidP="0002530E">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7.1.2.5. Bình hút ẩm.</w:t>
            </w:r>
          </w:p>
          <w:p w14:paraId="601A69D7" w14:textId="77777777" w:rsidR="0002530E" w:rsidRPr="00F965AC" w:rsidRDefault="0002530E" w:rsidP="0002530E">
            <w:pPr>
              <w:widowControl w:val="0"/>
              <w:spacing w:before="60" w:after="60"/>
              <w:jc w:val="both"/>
              <w:rPr>
                <w:rFonts w:asciiTheme="majorHAnsi" w:hAnsiTheme="majorHAnsi" w:cstheme="majorHAnsi"/>
                <w:sz w:val="26"/>
                <w:szCs w:val="26"/>
                <w:shd w:val="clear" w:color="auto" w:fill="FFFFFF"/>
              </w:rPr>
            </w:pPr>
            <w:r w:rsidRPr="00F965AC">
              <w:rPr>
                <w:rFonts w:asciiTheme="majorHAnsi" w:hAnsiTheme="majorHAnsi" w:cstheme="majorHAnsi"/>
                <w:bCs/>
                <w:iCs/>
                <w:sz w:val="26"/>
                <w:szCs w:val="26"/>
                <w:lang w:val="it-IT"/>
              </w:rPr>
              <w:lastRenderedPageBreak/>
              <w:t xml:space="preserve">7.1.3. </w:t>
            </w:r>
            <w:r w:rsidRPr="00F965AC">
              <w:rPr>
                <w:rFonts w:asciiTheme="majorHAnsi" w:hAnsiTheme="majorHAnsi" w:cstheme="majorHAnsi"/>
                <w:sz w:val="26"/>
                <w:szCs w:val="26"/>
                <w:shd w:val="clear" w:color="auto" w:fill="FFFFFF"/>
              </w:rPr>
              <w:t>Cách tiến hành</w:t>
            </w:r>
          </w:p>
          <w:p w14:paraId="705B35E5" w14:textId="77777777" w:rsidR="0002530E" w:rsidRPr="00F965AC" w:rsidRDefault="0002530E" w:rsidP="0002530E">
            <w:pPr>
              <w:pStyle w:val="ListParagraph"/>
              <w:widowControl w:val="0"/>
              <w:spacing w:before="60" w:after="60"/>
              <w:ind w:left="0"/>
              <w:jc w:val="both"/>
              <w:rPr>
                <w:rFonts w:asciiTheme="majorHAnsi" w:hAnsiTheme="majorHAnsi" w:cstheme="majorHAnsi"/>
                <w:sz w:val="26"/>
                <w:szCs w:val="26"/>
                <w:shd w:val="clear" w:color="auto" w:fill="FFFFFF"/>
              </w:rPr>
            </w:pPr>
            <w:r w:rsidRPr="00F965AC">
              <w:rPr>
                <w:rFonts w:asciiTheme="majorHAnsi" w:hAnsiTheme="majorHAnsi" w:cstheme="majorHAnsi"/>
                <w:sz w:val="26"/>
                <w:szCs w:val="26"/>
                <w:shd w:val="clear" w:color="auto" w:fill="FFFFFF"/>
              </w:rPr>
              <w:t xml:space="preserve">7.1.3.1. Cốc cân nắp mài rửa sạch sấy khô ở nhiệt độ từ </w:t>
            </w:r>
            <w:r w:rsidRPr="00F965AC">
              <w:rPr>
                <w:rFonts w:asciiTheme="majorHAnsi" w:hAnsiTheme="majorHAnsi" w:cstheme="majorHAnsi"/>
                <w:sz w:val="26"/>
                <w:szCs w:val="26"/>
              </w:rPr>
              <w:t>95 ºC đến 100 ºC trong thời gian 01 h, để nguội trong bình hút ẩm 30 min, cân khối lượng chính xác đến 0,0002 g.</w:t>
            </w:r>
          </w:p>
          <w:p w14:paraId="762F7565" w14:textId="77777777" w:rsidR="0002530E" w:rsidRPr="00F965AC" w:rsidRDefault="0002530E" w:rsidP="0002530E">
            <w:pPr>
              <w:pStyle w:val="ListParagraph"/>
              <w:widowControl w:val="0"/>
              <w:spacing w:before="60" w:after="60"/>
              <w:ind w:left="0"/>
              <w:jc w:val="both"/>
              <w:rPr>
                <w:rFonts w:asciiTheme="majorHAnsi" w:hAnsiTheme="majorHAnsi" w:cstheme="majorHAnsi"/>
                <w:sz w:val="26"/>
                <w:szCs w:val="26"/>
                <w:shd w:val="clear" w:color="auto" w:fill="FFFFFF"/>
              </w:rPr>
            </w:pPr>
            <w:r w:rsidRPr="00F965AC">
              <w:rPr>
                <w:rFonts w:asciiTheme="majorHAnsi" w:hAnsiTheme="majorHAnsi" w:cstheme="majorHAnsi"/>
                <w:sz w:val="26"/>
                <w:szCs w:val="26"/>
              </w:rPr>
              <w:t>7.1.3.2. Cân 10 g mẫu thuốc nổ hỗn hợp của các loại thuốc nổ mạnh đơn chất chính xác đến 0,0002 g cho vào cốc cân nắp mài đã biết khối lượng. Đem sấy mở nắp ở từ 60 ºC đến 65 ºC trong khoảng từ 4 h đến 6 h. Đậy nắp, để nguội trong bình hút ẩm 30 min, cân lại khối lượng chính xác đến 0,0002 g.</w:t>
            </w:r>
          </w:p>
          <w:p w14:paraId="15B7906A" w14:textId="77777777" w:rsidR="0002530E" w:rsidRPr="00F965AC" w:rsidRDefault="0002530E" w:rsidP="0002530E">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7.1.4. Tính kết quả</w:t>
            </w:r>
          </w:p>
          <w:p w14:paraId="3E2BFB90" w14:textId="77777777" w:rsidR="0002530E" w:rsidRPr="00F965AC" w:rsidRDefault="0002530E" w:rsidP="0002530E">
            <w:pPr>
              <w:pStyle w:val="ListParagraph"/>
              <w:widowControl w:val="0"/>
              <w:spacing w:before="60" w:after="60"/>
              <w:ind w:left="0"/>
              <w:jc w:val="both"/>
              <w:rPr>
                <w:rFonts w:asciiTheme="majorHAnsi" w:hAnsiTheme="majorHAnsi" w:cstheme="majorHAnsi"/>
                <w:b/>
                <w:i/>
                <w:sz w:val="26"/>
                <w:szCs w:val="26"/>
                <w:shd w:val="clear" w:color="auto" w:fill="FFFFFF"/>
              </w:rPr>
            </w:pPr>
            <w:r w:rsidRPr="00F965AC">
              <w:rPr>
                <w:rFonts w:asciiTheme="majorHAnsi" w:hAnsiTheme="majorHAnsi" w:cstheme="majorHAnsi"/>
                <w:sz w:val="26"/>
                <w:szCs w:val="26"/>
              </w:rPr>
              <w:t>7.1.4.1. Hàm lượng nước và các chất dễ bay hơi của mẫu X (%), tính theo công thức sau:</w:t>
            </w:r>
          </w:p>
          <w:p w14:paraId="385EA0F9" w14:textId="77777777" w:rsidR="0002530E" w:rsidRPr="00F965AC" w:rsidRDefault="0002530E" w:rsidP="0002530E">
            <w:pPr>
              <w:widowControl w:val="0"/>
              <w:shd w:val="clear" w:color="auto" w:fill="FFFFFF"/>
              <w:spacing w:before="60" w:after="60"/>
              <w:ind w:firstLine="720"/>
              <w:jc w:val="center"/>
              <w:rPr>
                <w:rFonts w:asciiTheme="majorHAnsi" w:hAnsiTheme="majorHAnsi" w:cstheme="majorHAnsi"/>
                <w:sz w:val="26"/>
                <w:szCs w:val="26"/>
              </w:rPr>
            </w:pPr>
            <w:r w:rsidRPr="00F965AC">
              <w:rPr>
                <w:rFonts w:asciiTheme="majorHAnsi" w:hAnsiTheme="majorHAnsi" w:cstheme="majorHAnsi"/>
                <w:position w:val="-24"/>
                <w:sz w:val="26"/>
                <w:szCs w:val="26"/>
              </w:rPr>
              <w:object w:dxaOrig="1800" w:dyaOrig="620" w14:anchorId="328D6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38.2pt" o:ole="">
                  <v:imagedata r:id="rId7" o:title=""/>
                </v:shape>
                <o:OLEObject Type="Embed" ProgID="Equation.3" ShapeID="_x0000_i1025" DrawAspect="Content" ObjectID="_1842776178" r:id="rId8"/>
              </w:object>
            </w:r>
          </w:p>
          <w:p w14:paraId="21524C3F" w14:textId="30A2F961" w:rsidR="0002530E" w:rsidRPr="00F965AC" w:rsidRDefault="0002530E" w:rsidP="0002530E">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 xml:space="preserve">Trong đó: </w:t>
            </w:r>
          </w:p>
          <w:p w14:paraId="6D43D3EB" w14:textId="77777777" w:rsidR="0002530E" w:rsidRPr="00F965AC" w:rsidRDefault="0002530E" w:rsidP="0002530E">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ab/>
            </w:r>
            <w:r w:rsidRPr="00F965AC">
              <w:rPr>
                <w:rFonts w:asciiTheme="majorHAnsi" w:hAnsiTheme="majorHAnsi" w:cstheme="majorHAnsi"/>
                <w:sz w:val="26"/>
                <w:szCs w:val="26"/>
              </w:rPr>
              <w:tab/>
              <w:t>G</w:t>
            </w:r>
            <w:r w:rsidRPr="00F965AC">
              <w:rPr>
                <w:rFonts w:asciiTheme="majorHAnsi" w:hAnsiTheme="majorHAnsi" w:cstheme="majorHAnsi"/>
                <w:sz w:val="26"/>
                <w:szCs w:val="26"/>
                <w:vertAlign w:val="subscript"/>
              </w:rPr>
              <w:t>1</w:t>
            </w:r>
            <w:r w:rsidRPr="00F965AC">
              <w:rPr>
                <w:rFonts w:asciiTheme="majorHAnsi" w:hAnsiTheme="majorHAnsi" w:cstheme="majorHAnsi"/>
                <w:sz w:val="26"/>
                <w:szCs w:val="26"/>
              </w:rPr>
              <w:t>: Tổng khối lượng mẫu và cốc cân trước khi sấy (g).</w:t>
            </w:r>
          </w:p>
          <w:p w14:paraId="5E25BFB4" w14:textId="77777777" w:rsidR="0002530E" w:rsidRPr="00F965AC" w:rsidRDefault="0002530E" w:rsidP="0002530E">
            <w:pPr>
              <w:widowControl w:val="0"/>
              <w:spacing w:before="60" w:after="60"/>
              <w:ind w:left="720" w:right="42" w:firstLine="720"/>
              <w:jc w:val="both"/>
              <w:rPr>
                <w:rFonts w:asciiTheme="majorHAnsi" w:hAnsiTheme="majorHAnsi" w:cstheme="majorHAnsi"/>
                <w:sz w:val="26"/>
                <w:szCs w:val="26"/>
              </w:rPr>
            </w:pPr>
            <w:r w:rsidRPr="00F965AC">
              <w:rPr>
                <w:rFonts w:asciiTheme="majorHAnsi" w:hAnsiTheme="majorHAnsi" w:cstheme="majorHAnsi"/>
                <w:sz w:val="26"/>
                <w:szCs w:val="26"/>
              </w:rPr>
              <w:t>G</w:t>
            </w:r>
            <w:r w:rsidRPr="00F965AC">
              <w:rPr>
                <w:rFonts w:asciiTheme="majorHAnsi" w:hAnsiTheme="majorHAnsi" w:cstheme="majorHAnsi"/>
                <w:sz w:val="26"/>
                <w:szCs w:val="26"/>
                <w:vertAlign w:val="subscript"/>
              </w:rPr>
              <w:t>2</w:t>
            </w:r>
            <w:r w:rsidRPr="00F965AC">
              <w:rPr>
                <w:rFonts w:asciiTheme="majorHAnsi" w:hAnsiTheme="majorHAnsi" w:cstheme="majorHAnsi"/>
                <w:sz w:val="26"/>
                <w:szCs w:val="26"/>
              </w:rPr>
              <w:t>: Tổng khối lượng mẫu và cốc cân sau khi sấy (g).</w:t>
            </w:r>
          </w:p>
          <w:p w14:paraId="6938346E" w14:textId="77777777" w:rsidR="0002530E" w:rsidRPr="00F965AC" w:rsidRDefault="0002530E" w:rsidP="0002530E">
            <w:pPr>
              <w:widowControl w:val="0"/>
              <w:spacing w:before="60" w:after="60"/>
              <w:ind w:left="720" w:right="42" w:firstLine="720"/>
              <w:jc w:val="both"/>
              <w:rPr>
                <w:rFonts w:asciiTheme="majorHAnsi" w:hAnsiTheme="majorHAnsi" w:cstheme="majorHAnsi"/>
                <w:sz w:val="26"/>
                <w:szCs w:val="26"/>
              </w:rPr>
            </w:pPr>
            <w:r w:rsidRPr="00F965AC">
              <w:rPr>
                <w:rFonts w:asciiTheme="majorHAnsi" w:hAnsiTheme="majorHAnsi" w:cstheme="majorHAnsi"/>
                <w:sz w:val="26"/>
                <w:szCs w:val="26"/>
              </w:rPr>
              <w:t xml:space="preserve">G: Khối lượng mẫu (g). </w:t>
            </w:r>
          </w:p>
          <w:p w14:paraId="2C404A36" w14:textId="77777777" w:rsidR="0002530E" w:rsidRPr="00F965AC" w:rsidRDefault="0002530E" w:rsidP="0002530E">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7.1.4.2. Tính toán chính xác đến 0,01 %.</w:t>
            </w:r>
          </w:p>
          <w:p w14:paraId="396BC2D3" w14:textId="77777777" w:rsidR="0002530E" w:rsidRPr="00F965AC" w:rsidRDefault="0002530E" w:rsidP="0002530E">
            <w:pPr>
              <w:widowControl w:val="0"/>
              <w:shd w:val="clear" w:color="auto" w:fill="FFFFFF"/>
              <w:spacing w:before="60" w:after="60"/>
              <w:ind w:right="-1"/>
              <w:jc w:val="both"/>
              <w:rPr>
                <w:rFonts w:asciiTheme="majorHAnsi" w:hAnsiTheme="majorHAnsi" w:cstheme="majorHAnsi"/>
                <w:sz w:val="26"/>
                <w:szCs w:val="26"/>
              </w:rPr>
            </w:pPr>
            <w:r w:rsidRPr="00F965AC">
              <w:rPr>
                <w:rFonts w:asciiTheme="majorHAnsi" w:hAnsiTheme="majorHAnsi" w:cstheme="majorHAnsi"/>
                <w:sz w:val="26"/>
                <w:szCs w:val="26"/>
              </w:rPr>
              <w:t xml:space="preserve">7.1.4.3. Thí nghiệm được tiến hành 3 lần, chênh lệch kết quả giữa 3 lần thí nghiệm đối với cùng một mẫu </w:t>
            </w:r>
            <w:r w:rsidRPr="00F965AC">
              <w:rPr>
                <w:rFonts w:asciiTheme="majorHAnsi" w:hAnsiTheme="majorHAnsi" w:cstheme="majorHAnsi"/>
                <w:sz w:val="26"/>
                <w:szCs w:val="26"/>
              </w:rPr>
              <w:lastRenderedPageBreak/>
              <w:t>không vượt quá 0,02 %;</w:t>
            </w:r>
          </w:p>
          <w:p w14:paraId="133D0E14" w14:textId="449F3DFB" w:rsidR="0002530E" w:rsidRPr="00F965AC" w:rsidRDefault="0002530E" w:rsidP="0002530E">
            <w:pPr>
              <w:widowControl w:val="0"/>
              <w:shd w:val="clear" w:color="auto" w:fill="FFFFFF"/>
              <w:spacing w:before="60" w:after="60"/>
              <w:ind w:right="-1"/>
              <w:jc w:val="both"/>
              <w:rPr>
                <w:rFonts w:asciiTheme="majorHAnsi" w:hAnsiTheme="majorHAnsi" w:cstheme="majorHAnsi"/>
                <w:sz w:val="26"/>
                <w:szCs w:val="26"/>
                <w:lang w:val="en-US"/>
              </w:rPr>
            </w:pPr>
            <w:r w:rsidRPr="00F965AC">
              <w:rPr>
                <w:rFonts w:asciiTheme="majorHAnsi" w:hAnsiTheme="majorHAnsi" w:cstheme="majorHAnsi"/>
                <w:sz w:val="26"/>
                <w:szCs w:val="26"/>
              </w:rPr>
              <w:t>7.1.4.4. Kết quả là trung bình cộng của 3 lần thí nghiệm.</w:t>
            </w:r>
          </w:p>
        </w:tc>
        <w:tc>
          <w:tcPr>
            <w:tcW w:w="5245" w:type="dxa"/>
          </w:tcPr>
          <w:p w14:paraId="2851D050" w14:textId="7B4CD8A4" w:rsidR="0002530E" w:rsidRPr="00F965AC" w:rsidRDefault="00DC16E2" w:rsidP="0002530E">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lastRenderedPageBreak/>
              <w:t>Phương pháp thử x</w:t>
            </w:r>
            <w:r w:rsidRPr="00F965AC">
              <w:rPr>
                <w:rFonts w:asciiTheme="majorHAnsi" w:hAnsiTheme="majorHAnsi" w:cstheme="majorHAnsi"/>
                <w:sz w:val="26"/>
                <w:szCs w:val="26"/>
              </w:rPr>
              <w:t>ác định h</w:t>
            </w:r>
            <w:r w:rsidRPr="00F965AC">
              <w:rPr>
                <w:rFonts w:asciiTheme="majorHAnsi" w:hAnsiTheme="majorHAnsi" w:cstheme="majorHAnsi"/>
                <w:bCs/>
                <w:sz w:val="26"/>
                <w:szCs w:val="26"/>
              </w:rPr>
              <w:t>àm lượng nước và các chất dễ bay hơi</w:t>
            </w:r>
            <w:r>
              <w:rPr>
                <w:rFonts w:asciiTheme="majorHAnsi" w:hAnsiTheme="majorHAnsi" w:cstheme="majorHAnsi"/>
                <w:bCs/>
                <w:color w:val="000000"/>
                <w:sz w:val="26"/>
                <w:szCs w:val="26"/>
                <w:lang w:val="en-US"/>
              </w:rPr>
              <w:t xml:space="preserve"> được quy định tại </w:t>
            </w:r>
            <w:r w:rsidR="00FD2019">
              <w:rPr>
                <w:rFonts w:asciiTheme="majorHAnsi" w:hAnsiTheme="majorHAnsi" w:cstheme="majorHAnsi"/>
                <w:bCs/>
                <w:color w:val="000000"/>
                <w:sz w:val="26"/>
                <w:szCs w:val="26"/>
                <w:lang w:val="en-US"/>
              </w:rPr>
              <w:t xml:space="preserve">QCVN 12-12:2022/BCT </w:t>
            </w:r>
            <w:r>
              <w:rPr>
                <w:rFonts w:asciiTheme="majorHAnsi" w:hAnsiTheme="majorHAnsi" w:cstheme="majorHAnsi"/>
                <w:bCs/>
                <w:color w:val="000000"/>
                <w:sz w:val="26"/>
                <w:szCs w:val="26"/>
                <w:lang w:val="en-US"/>
              </w:rPr>
              <w:t xml:space="preserve">và trong quá trình thực hiện QCVN không có phát sinh, vướng mắc và chất lượng sản phẩm thuốc nổ TNT đảm bảo theo quy định. Theo đó, </w:t>
            </w:r>
            <w:r w:rsidR="000A3A28">
              <w:rPr>
                <w:rFonts w:asciiTheme="majorHAnsi" w:hAnsiTheme="majorHAnsi" w:cstheme="majorHAnsi"/>
                <w:bCs/>
                <w:color w:val="000000"/>
                <w:sz w:val="26"/>
                <w:szCs w:val="26"/>
                <w:lang w:val="en-US"/>
              </w:rPr>
              <w:t>dự thảo QCVN kế thừa phương pháp thử thử x</w:t>
            </w:r>
            <w:r w:rsidR="000A3A28" w:rsidRPr="00F965AC">
              <w:rPr>
                <w:rFonts w:asciiTheme="majorHAnsi" w:hAnsiTheme="majorHAnsi" w:cstheme="majorHAnsi"/>
                <w:sz w:val="26"/>
                <w:szCs w:val="26"/>
              </w:rPr>
              <w:t>ác định h</w:t>
            </w:r>
            <w:r w:rsidR="000A3A28" w:rsidRPr="00F965AC">
              <w:rPr>
                <w:rFonts w:asciiTheme="majorHAnsi" w:hAnsiTheme="majorHAnsi" w:cstheme="majorHAnsi"/>
                <w:bCs/>
                <w:sz w:val="26"/>
                <w:szCs w:val="26"/>
              </w:rPr>
              <w:t>àm lượng nước và các chất dễ bay hơi</w:t>
            </w:r>
            <w:r w:rsidR="000A3A28">
              <w:rPr>
                <w:rFonts w:asciiTheme="majorHAnsi" w:hAnsiTheme="majorHAnsi" w:cstheme="majorHAnsi"/>
                <w:bCs/>
                <w:color w:val="000000"/>
                <w:sz w:val="26"/>
                <w:szCs w:val="26"/>
                <w:lang w:val="en-US"/>
              </w:rPr>
              <w:t xml:space="preserve"> tại QCVN 12-12:2022/BCT</w:t>
            </w:r>
          </w:p>
        </w:tc>
      </w:tr>
      <w:tr w:rsidR="0002530E" w:rsidRPr="00BA5387" w14:paraId="4CF92419" w14:textId="77777777" w:rsidTr="00E86916">
        <w:trPr>
          <w:trHeight w:val="125"/>
        </w:trPr>
        <w:tc>
          <w:tcPr>
            <w:tcW w:w="3431" w:type="dxa"/>
          </w:tcPr>
          <w:p w14:paraId="0ED2E2C5" w14:textId="77777777" w:rsidR="0002530E" w:rsidRPr="00F965AC" w:rsidRDefault="0002530E" w:rsidP="0002530E">
            <w:pPr>
              <w:widowControl w:val="0"/>
              <w:shd w:val="clear" w:color="auto" w:fill="FFFFFF"/>
              <w:jc w:val="both"/>
              <w:rPr>
                <w:rFonts w:asciiTheme="majorHAnsi" w:hAnsiTheme="majorHAnsi" w:cstheme="majorHAnsi"/>
                <w:sz w:val="26"/>
                <w:szCs w:val="26"/>
                <w:lang w:val="en-US"/>
              </w:rPr>
            </w:pPr>
          </w:p>
        </w:tc>
        <w:tc>
          <w:tcPr>
            <w:tcW w:w="5812" w:type="dxa"/>
          </w:tcPr>
          <w:p w14:paraId="756A52CC" w14:textId="77777777" w:rsidR="0002530E" w:rsidRPr="00F965AC" w:rsidRDefault="0002530E" w:rsidP="0002530E">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7.2. Xác định khả năng sinh công bằng con lắc xạ thuật</w:t>
            </w:r>
          </w:p>
          <w:p w14:paraId="4B526733" w14:textId="695F3B41" w:rsidR="0002530E" w:rsidRPr="008A459A" w:rsidRDefault="0002530E" w:rsidP="0002530E">
            <w:pPr>
              <w:snapToGrid w:val="0"/>
              <w:jc w:val="both"/>
              <w:rPr>
                <w:rFonts w:asciiTheme="majorHAnsi" w:hAnsiTheme="majorHAnsi" w:cstheme="majorHAnsi"/>
                <w:bCs/>
                <w:spacing w:val="-2"/>
                <w:sz w:val="26"/>
                <w:szCs w:val="26"/>
                <w:lang w:val="en-US"/>
              </w:rPr>
            </w:pPr>
            <w:r w:rsidRPr="00F965AC">
              <w:rPr>
                <w:rFonts w:asciiTheme="majorHAnsi" w:hAnsiTheme="majorHAnsi" w:cstheme="majorHAnsi"/>
                <w:sz w:val="26"/>
                <w:szCs w:val="26"/>
              </w:rPr>
              <w:t>Thực hiện theo TCVN 6424:1998</w:t>
            </w:r>
          </w:p>
        </w:tc>
        <w:tc>
          <w:tcPr>
            <w:tcW w:w="5245" w:type="dxa"/>
          </w:tcPr>
          <w:p w14:paraId="334DDBE1" w14:textId="7DFA2E81" w:rsidR="0002530E" w:rsidRPr="007B6D8B" w:rsidRDefault="008A459A" w:rsidP="0002530E">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t xml:space="preserve">Việc xác định khả năng sinh công bằng con lắc xạ thuật </w:t>
            </w:r>
            <w:r w:rsidR="005F7544">
              <w:rPr>
                <w:rFonts w:asciiTheme="majorHAnsi" w:hAnsiTheme="majorHAnsi" w:cstheme="majorHAnsi"/>
                <w:bCs/>
                <w:color w:val="000000"/>
                <w:sz w:val="26"/>
                <w:szCs w:val="26"/>
                <w:lang w:val="en-US"/>
              </w:rPr>
              <w:t xml:space="preserve">được thực hiện từ năm 1998 đến nay theo </w:t>
            </w:r>
            <w:r w:rsidR="005F7544" w:rsidRPr="00F965AC">
              <w:rPr>
                <w:rFonts w:asciiTheme="majorHAnsi" w:hAnsiTheme="majorHAnsi" w:cstheme="majorHAnsi"/>
                <w:sz w:val="26"/>
                <w:szCs w:val="26"/>
              </w:rPr>
              <w:t>TCVN 6424:1998</w:t>
            </w:r>
            <w:r w:rsidR="005F7544">
              <w:rPr>
                <w:rFonts w:asciiTheme="majorHAnsi" w:hAnsiTheme="majorHAnsi" w:cstheme="majorHAnsi"/>
                <w:sz w:val="26"/>
                <w:szCs w:val="26"/>
                <w:lang w:val="en-US"/>
              </w:rPr>
              <w:t xml:space="preserve"> và đảm bảo an toàn, không có </w:t>
            </w:r>
            <w:r w:rsidR="005F7544">
              <w:rPr>
                <w:rFonts w:asciiTheme="majorHAnsi" w:hAnsiTheme="majorHAnsi" w:cstheme="majorHAnsi"/>
                <w:bCs/>
                <w:color w:val="000000"/>
                <w:sz w:val="26"/>
                <w:szCs w:val="26"/>
                <w:lang w:val="en-US"/>
              </w:rPr>
              <w:t xml:space="preserve">phát sinh, vướng mắc trong quá trình thực hiện. Theo đó, đề nghị </w:t>
            </w:r>
            <w:r w:rsidR="007B6D8B">
              <w:rPr>
                <w:rFonts w:asciiTheme="majorHAnsi" w:hAnsiTheme="majorHAnsi" w:cstheme="majorHAnsi"/>
                <w:bCs/>
                <w:color w:val="000000"/>
                <w:sz w:val="26"/>
                <w:szCs w:val="26"/>
                <w:lang w:val="en-US"/>
              </w:rPr>
              <w:t xml:space="preserve">áp dụng </w:t>
            </w:r>
            <w:r w:rsidR="007B6D8B" w:rsidRPr="00F965AC">
              <w:rPr>
                <w:rFonts w:asciiTheme="majorHAnsi" w:hAnsiTheme="majorHAnsi" w:cstheme="majorHAnsi"/>
                <w:sz w:val="26"/>
                <w:szCs w:val="26"/>
              </w:rPr>
              <w:t>TCVN 6424:1998</w:t>
            </w:r>
            <w:r w:rsidR="007B6D8B">
              <w:rPr>
                <w:rFonts w:asciiTheme="majorHAnsi" w:hAnsiTheme="majorHAnsi" w:cstheme="majorHAnsi"/>
                <w:sz w:val="26"/>
                <w:szCs w:val="26"/>
                <w:lang w:val="en-US"/>
              </w:rPr>
              <w:t xml:space="preserve"> để </w:t>
            </w:r>
            <w:r w:rsidR="007B6D8B">
              <w:rPr>
                <w:rFonts w:asciiTheme="majorHAnsi" w:hAnsiTheme="majorHAnsi" w:cstheme="majorHAnsi"/>
                <w:bCs/>
                <w:color w:val="000000"/>
                <w:sz w:val="26"/>
                <w:szCs w:val="26"/>
                <w:lang w:val="en-US"/>
              </w:rPr>
              <w:t>xác định khả năng sinh công bằng con lắc xạ thuật.</w:t>
            </w:r>
          </w:p>
        </w:tc>
      </w:tr>
      <w:tr w:rsidR="003062F0" w:rsidRPr="00BA5387" w14:paraId="0F8767CC" w14:textId="77777777" w:rsidTr="00E86916">
        <w:trPr>
          <w:trHeight w:val="125"/>
        </w:trPr>
        <w:tc>
          <w:tcPr>
            <w:tcW w:w="3431" w:type="dxa"/>
          </w:tcPr>
          <w:p w14:paraId="3F2A54A6" w14:textId="77777777" w:rsidR="003062F0" w:rsidRPr="00F965AC" w:rsidRDefault="003062F0" w:rsidP="003062F0">
            <w:pPr>
              <w:widowControl w:val="0"/>
              <w:shd w:val="clear" w:color="auto" w:fill="FFFFFF"/>
              <w:jc w:val="both"/>
              <w:rPr>
                <w:rFonts w:asciiTheme="majorHAnsi" w:hAnsiTheme="majorHAnsi" w:cstheme="majorHAnsi"/>
                <w:sz w:val="26"/>
                <w:szCs w:val="26"/>
                <w:lang w:val="en-US"/>
              </w:rPr>
            </w:pPr>
          </w:p>
        </w:tc>
        <w:tc>
          <w:tcPr>
            <w:tcW w:w="5812" w:type="dxa"/>
          </w:tcPr>
          <w:p w14:paraId="4447D5F0" w14:textId="77777777" w:rsidR="003062F0" w:rsidRPr="00F965AC" w:rsidRDefault="003062F0" w:rsidP="003062F0">
            <w:pPr>
              <w:widowControl w:val="0"/>
              <w:shd w:val="clear" w:color="auto" w:fill="FFFFFF"/>
              <w:spacing w:before="60" w:after="60"/>
              <w:jc w:val="both"/>
              <w:rPr>
                <w:rFonts w:asciiTheme="majorHAnsi" w:hAnsiTheme="majorHAnsi" w:cstheme="majorHAnsi"/>
                <w:sz w:val="26"/>
                <w:szCs w:val="26"/>
                <w:vertAlign w:val="superscript"/>
              </w:rPr>
            </w:pPr>
            <w:r w:rsidRPr="00F965AC">
              <w:rPr>
                <w:rFonts w:asciiTheme="majorHAnsi" w:hAnsiTheme="majorHAnsi" w:cstheme="majorHAnsi"/>
                <w:sz w:val="26"/>
                <w:szCs w:val="26"/>
              </w:rPr>
              <w:t>7.3. Xác định tốc độ nổ ở mật độ 1,2 g/cm</w:t>
            </w:r>
            <w:r w:rsidRPr="00F965AC">
              <w:rPr>
                <w:rFonts w:asciiTheme="majorHAnsi" w:hAnsiTheme="majorHAnsi" w:cstheme="majorHAnsi"/>
                <w:sz w:val="26"/>
                <w:szCs w:val="26"/>
                <w:vertAlign w:val="superscript"/>
              </w:rPr>
              <w:t>3</w:t>
            </w:r>
          </w:p>
          <w:p w14:paraId="12E74057" w14:textId="77777777" w:rsidR="003062F0" w:rsidRPr="00F965AC" w:rsidRDefault="003062F0" w:rsidP="003062F0">
            <w:pPr>
              <w:widowControl w:val="0"/>
              <w:spacing w:before="60" w:after="60"/>
              <w:jc w:val="both"/>
              <w:rPr>
                <w:rFonts w:asciiTheme="majorHAnsi" w:hAnsiTheme="majorHAnsi" w:cstheme="majorHAnsi"/>
                <w:bCs/>
                <w:sz w:val="26"/>
                <w:szCs w:val="26"/>
              </w:rPr>
            </w:pPr>
            <w:r w:rsidRPr="00F965AC">
              <w:rPr>
                <w:rFonts w:asciiTheme="majorHAnsi" w:hAnsiTheme="majorHAnsi" w:cstheme="majorHAnsi"/>
                <w:bCs/>
                <w:sz w:val="26"/>
                <w:szCs w:val="26"/>
              </w:rPr>
              <w:t>7.3.1. Nguyên tắc</w:t>
            </w:r>
          </w:p>
          <w:p w14:paraId="4C9C0F83" w14:textId="77777777" w:rsidR="003062F0" w:rsidRPr="00F965AC" w:rsidRDefault="003062F0" w:rsidP="003062F0">
            <w:pPr>
              <w:widowControl w:val="0"/>
              <w:shd w:val="clear" w:color="auto" w:fill="FFFFFF"/>
              <w:spacing w:before="60" w:after="60"/>
              <w:jc w:val="both"/>
              <w:rPr>
                <w:rFonts w:asciiTheme="majorHAnsi" w:hAnsiTheme="majorHAnsi" w:cstheme="majorHAnsi"/>
                <w:bCs/>
                <w:sz w:val="26"/>
                <w:szCs w:val="26"/>
              </w:rPr>
            </w:pPr>
            <w:r w:rsidRPr="00F965AC">
              <w:rPr>
                <w:rFonts w:asciiTheme="majorHAnsi" w:hAnsiTheme="majorHAnsi" w:cstheme="majorHAnsi"/>
                <w:bCs/>
                <w:sz w:val="26"/>
                <w:szCs w:val="26"/>
              </w:rPr>
              <w:t>Dùng máy đo thời gian xác định thời gian sóng truyền nổ qua một chiều dài nhất định trên thỏi thuốc từ đó xác định tốc độ nổ.</w:t>
            </w:r>
          </w:p>
          <w:p w14:paraId="1A0C007D" w14:textId="77777777" w:rsidR="003062F0" w:rsidRPr="00F965AC" w:rsidRDefault="003062F0" w:rsidP="003062F0">
            <w:pPr>
              <w:widowControl w:val="0"/>
              <w:spacing w:before="60" w:after="60"/>
              <w:jc w:val="both"/>
              <w:rPr>
                <w:rFonts w:asciiTheme="majorHAnsi" w:hAnsiTheme="majorHAnsi" w:cstheme="majorHAnsi"/>
                <w:bCs/>
                <w:sz w:val="26"/>
                <w:szCs w:val="26"/>
              </w:rPr>
            </w:pPr>
            <w:r w:rsidRPr="00F965AC">
              <w:rPr>
                <w:rFonts w:asciiTheme="majorHAnsi" w:hAnsiTheme="majorHAnsi" w:cstheme="majorHAnsi"/>
                <w:bCs/>
                <w:sz w:val="26"/>
                <w:szCs w:val="26"/>
              </w:rPr>
              <w:t>7.3.2. Vật tư, thiết bị, dụng cụ</w:t>
            </w:r>
          </w:p>
          <w:p w14:paraId="597B8477" w14:textId="77777777" w:rsidR="003062F0" w:rsidRPr="00F965AC" w:rsidRDefault="003062F0" w:rsidP="003062F0">
            <w:pPr>
              <w:widowControl w:val="0"/>
              <w:spacing w:before="60" w:after="60"/>
              <w:jc w:val="both"/>
              <w:rPr>
                <w:rFonts w:asciiTheme="majorHAnsi" w:hAnsiTheme="majorHAnsi" w:cstheme="majorHAnsi"/>
                <w:bCs/>
                <w:sz w:val="26"/>
                <w:szCs w:val="26"/>
              </w:rPr>
            </w:pPr>
            <w:r w:rsidRPr="00F965AC">
              <w:rPr>
                <w:rFonts w:asciiTheme="majorHAnsi" w:hAnsiTheme="majorHAnsi" w:cstheme="majorHAnsi"/>
                <w:bCs/>
                <w:sz w:val="26"/>
                <w:szCs w:val="26"/>
              </w:rPr>
              <w:t>7.3.2.1. Máy đo tốc độ nổ và dây quang đồng bộ.</w:t>
            </w:r>
          </w:p>
          <w:p w14:paraId="7295A6E3" w14:textId="77777777" w:rsidR="003062F0" w:rsidRPr="00F965AC" w:rsidRDefault="003062F0" w:rsidP="003062F0">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t>7.3.2.2.</w:t>
            </w:r>
            <w:r w:rsidRPr="00F965AC">
              <w:rPr>
                <w:rFonts w:asciiTheme="majorHAnsi" w:hAnsiTheme="majorHAnsi" w:cstheme="majorHAnsi"/>
                <w:sz w:val="26"/>
                <w:szCs w:val="26"/>
              </w:rPr>
              <w:t xml:space="preserve"> Kíp nổ điện số 8 theo quy định tại QCVN 12-25:2024/BCT.</w:t>
            </w:r>
          </w:p>
          <w:p w14:paraId="7230549D" w14:textId="77777777" w:rsidR="003062F0" w:rsidRPr="00F965AC" w:rsidRDefault="003062F0" w:rsidP="003062F0">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t>7.3.2.3.</w:t>
            </w:r>
            <w:r w:rsidRPr="00F965AC">
              <w:rPr>
                <w:rFonts w:asciiTheme="majorHAnsi" w:hAnsiTheme="majorHAnsi" w:cstheme="majorHAnsi"/>
                <w:sz w:val="26"/>
                <w:szCs w:val="26"/>
              </w:rPr>
              <w:t xml:space="preserve"> Thuốc nổ hỗn hợp của các loại thuốc nổ mạnh đơn chất.</w:t>
            </w:r>
          </w:p>
          <w:p w14:paraId="432AF881" w14:textId="77777777" w:rsidR="003062F0" w:rsidRPr="00F965AC" w:rsidRDefault="003062F0" w:rsidP="003062F0">
            <w:pPr>
              <w:widowControl w:val="0"/>
              <w:spacing w:before="60" w:after="60"/>
              <w:jc w:val="both"/>
              <w:rPr>
                <w:rFonts w:asciiTheme="majorHAnsi" w:hAnsiTheme="majorHAnsi" w:cstheme="majorHAnsi"/>
                <w:spacing w:val="-4"/>
                <w:sz w:val="26"/>
                <w:szCs w:val="26"/>
              </w:rPr>
            </w:pPr>
            <w:r w:rsidRPr="00F965AC">
              <w:rPr>
                <w:rFonts w:asciiTheme="majorHAnsi" w:hAnsiTheme="majorHAnsi" w:cstheme="majorHAnsi"/>
                <w:bCs/>
                <w:spacing w:val="-4"/>
                <w:sz w:val="26"/>
                <w:szCs w:val="26"/>
              </w:rPr>
              <w:t>7.3.2.4.</w:t>
            </w:r>
            <w:r w:rsidRPr="00F965AC">
              <w:rPr>
                <w:rFonts w:asciiTheme="majorHAnsi" w:hAnsiTheme="majorHAnsi" w:cstheme="majorHAnsi"/>
                <w:spacing w:val="-4"/>
                <w:sz w:val="26"/>
                <w:szCs w:val="26"/>
              </w:rPr>
              <w:t xml:space="preserve"> Máy nổ mìn chuyên dụng hoặc nguồn điện một chiều từ 6 V đến 12 V.</w:t>
            </w:r>
          </w:p>
          <w:p w14:paraId="628C553D" w14:textId="77777777" w:rsidR="003062F0" w:rsidRPr="00F965AC" w:rsidRDefault="003062F0" w:rsidP="003062F0">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7.3.2.5. Ống nhựa đường kính ngoài 27 mm, dày 2 mm.</w:t>
            </w:r>
          </w:p>
          <w:p w14:paraId="3CAEDFF9" w14:textId="77777777" w:rsidR="003062F0" w:rsidRPr="00F965AC" w:rsidRDefault="003062F0" w:rsidP="003062F0">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lastRenderedPageBreak/>
              <w:t>7.3.2.6.</w:t>
            </w:r>
            <w:r w:rsidRPr="00F965AC">
              <w:rPr>
                <w:rFonts w:asciiTheme="majorHAnsi" w:hAnsiTheme="majorHAnsi" w:cstheme="majorHAnsi"/>
                <w:sz w:val="26"/>
                <w:szCs w:val="26"/>
              </w:rPr>
              <w:t xml:space="preserve"> Thước vạch chuẩn, có chia vạch đến 1 mm.</w:t>
            </w:r>
          </w:p>
          <w:p w14:paraId="1BD332FE" w14:textId="77777777" w:rsidR="003062F0" w:rsidRPr="00F965AC" w:rsidRDefault="003062F0" w:rsidP="003062F0">
            <w:pPr>
              <w:widowControl w:val="0"/>
              <w:spacing w:before="60" w:after="60"/>
              <w:jc w:val="both"/>
              <w:rPr>
                <w:rFonts w:asciiTheme="majorHAnsi" w:hAnsiTheme="majorHAnsi" w:cstheme="majorHAnsi"/>
                <w:b/>
                <w:bCs/>
                <w:sz w:val="26"/>
                <w:szCs w:val="26"/>
              </w:rPr>
            </w:pPr>
            <w:r w:rsidRPr="00F965AC">
              <w:rPr>
                <w:rFonts w:asciiTheme="majorHAnsi" w:hAnsiTheme="majorHAnsi" w:cstheme="majorHAnsi"/>
                <w:bCs/>
                <w:sz w:val="26"/>
                <w:szCs w:val="26"/>
              </w:rPr>
              <w:t>7.3.2.7.</w:t>
            </w:r>
            <w:r w:rsidRPr="00F965AC">
              <w:rPr>
                <w:rFonts w:asciiTheme="majorHAnsi" w:hAnsiTheme="majorHAnsi" w:cstheme="majorHAnsi"/>
                <w:sz w:val="26"/>
                <w:szCs w:val="26"/>
              </w:rPr>
              <w:t xml:space="preserve"> Dao, kéo.</w:t>
            </w:r>
          </w:p>
          <w:p w14:paraId="10580475" w14:textId="77777777" w:rsidR="003062F0" w:rsidRPr="00F965AC" w:rsidRDefault="003062F0" w:rsidP="003062F0">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t>7.3.2.8.</w:t>
            </w:r>
            <w:r w:rsidRPr="00F965AC">
              <w:rPr>
                <w:rFonts w:asciiTheme="majorHAnsi" w:hAnsiTheme="majorHAnsi" w:cstheme="majorHAnsi"/>
                <w:sz w:val="26"/>
                <w:szCs w:val="26"/>
              </w:rPr>
              <w:t xml:space="preserve"> Thước cặp có dải đo từ 0 mm đến 300 mm, sai số 0,02 mm.</w:t>
            </w:r>
          </w:p>
          <w:p w14:paraId="1BAFA93D" w14:textId="77777777" w:rsidR="003062F0" w:rsidRPr="00F965AC" w:rsidRDefault="003062F0" w:rsidP="003062F0">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t>7.3.2.9.</w:t>
            </w:r>
            <w:r w:rsidRPr="00F965AC">
              <w:rPr>
                <w:rFonts w:asciiTheme="majorHAnsi" w:hAnsiTheme="majorHAnsi" w:cstheme="majorHAnsi"/>
                <w:sz w:val="26"/>
                <w:szCs w:val="26"/>
              </w:rPr>
              <w:t xml:space="preserve"> Hầm nổ hoặc bãi thử nổ.</w:t>
            </w:r>
          </w:p>
          <w:p w14:paraId="3CFC4D7F" w14:textId="77777777" w:rsidR="003062F0" w:rsidRPr="00F965AC" w:rsidRDefault="003062F0" w:rsidP="003062F0">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7.3.3. Cách tiến hành</w:t>
            </w:r>
          </w:p>
          <w:p w14:paraId="3635CDCA" w14:textId="77777777" w:rsidR="003062F0" w:rsidRPr="00F965AC" w:rsidRDefault="003062F0" w:rsidP="003062F0">
            <w:pPr>
              <w:spacing w:line="276" w:lineRule="auto"/>
              <w:ind w:right="57"/>
              <w:contextualSpacing/>
              <w:jc w:val="both"/>
              <w:rPr>
                <w:rFonts w:asciiTheme="majorHAnsi" w:hAnsiTheme="majorHAnsi" w:cstheme="majorHAnsi"/>
                <w:bCs/>
                <w:spacing w:val="-4"/>
                <w:sz w:val="26"/>
                <w:szCs w:val="26"/>
              </w:rPr>
            </w:pPr>
            <w:r w:rsidRPr="00F965AC">
              <w:rPr>
                <w:rFonts w:asciiTheme="majorHAnsi" w:hAnsiTheme="majorHAnsi" w:cstheme="majorHAnsi"/>
                <w:sz w:val="26"/>
                <w:szCs w:val="26"/>
              </w:rPr>
              <w:t>7.3.3.1.</w:t>
            </w:r>
            <w:r w:rsidRPr="00F965AC">
              <w:rPr>
                <w:rFonts w:asciiTheme="majorHAnsi" w:hAnsiTheme="majorHAnsi" w:cstheme="majorHAnsi"/>
                <w:bCs/>
                <w:spacing w:val="-4"/>
                <w:sz w:val="26"/>
                <w:szCs w:val="26"/>
              </w:rPr>
              <w:t xml:space="preserve"> Cắt ống nhựa đường kính 27 mm đảm bảo chiều dài ống từ 374 mm đến 376 mm. Dùng khoan gia công 2 lỗ đường kính 5 mm xuyên qua tâm ống nhựa để tra dây quang. Lỗ thứ nhất cách đầu ống 82 mm, lỗ thứ 2 cách lỗ thứ nhất 200 mm. Dùng lưỡi cưa xẻ rãnh từ đầu ống nhựa đến lỗ khoan (cả 2 đầu). Sau đó dùng dũa làm sạch bavia trong và ngoài ống nhựa.</w:t>
            </w:r>
          </w:p>
          <w:p w14:paraId="49249141" w14:textId="77777777" w:rsidR="003062F0" w:rsidRPr="00F965AC" w:rsidRDefault="003062F0" w:rsidP="003062F0">
            <w:pPr>
              <w:widowControl w:val="0"/>
              <w:shd w:val="clear" w:color="auto" w:fill="FFFFFF"/>
              <w:spacing w:before="120" w:after="120"/>
              <w:jc w:val="both"/>
              <w:rPr>
                <w:rFonts w:asciiTheme="majorHAnsi" w:hAnsiTheme="majorHAnsi" w:cstheme="majorHAnsi"/>
                <w:sz w:val="26"/>
                <w:szCs w:val="26"/>
              </w:rPr>
            </w:pPr>
            <w:r w:rsidRPr="00F965AC">
              <w:rPr>
                <w:rFonts w:asciiTheme="majorHAnsi" w:hAnsiTheme="majorHAnsi" w:cstheme="majorHAnsi"/>
                <w:sz w:val="26"/>
                <w:szCs w:val="26"/>
              </w:rPr>
              <w:t>7.3.3.2. Nghiền mẫu thuốc nổ trong cối sứ, sau đó tiến hành sàng qua rây 20 lỗ/cm</w:t>
            </w:r>
            <w:r w:rsidRPr="00F965AC">
              <w:rPr>
                <w:rFonts w:asciiTheme="majorHAnsi" w:hAnsiTheme="majorHAnsi" w:cstheme="majorHAnsi"/>
                <w:sz w:val="26"/>
                <w:szCs w:val="26"/>
                <w:vertAlign w:val="superscript"/>
              </w:rPr>
              <w:t>2</w:t>
            </w:r>
            <w:r w:rsidRPr="00F965AC">
              <w:rPr>
                <w:rFonts w:asciiTheme="majorHAnsi" w:hAnsiTheme="majorHAnsi" w:cstheme="majorHAnsi"/>
                <w:sz w:val="26"/>
                <w:szCs w:val="26"/>
              </w:rPr>
              <w:t>. Lấy các hạt thuốc dưới sàng và cân trên cân kỹ thuật với khối lượng tương ứng để đảm bảo nhồi đạt mật độ 1,2 g/cm</w:t>
            </w:r>
            <w:r w:rsidRPr="00F965AC">
              <w:rPr>
                <w:rFonts w:asciiTheme="majorHAnsi" w:hAnsiTheme="majorHAnsi" w:cstheme="majorHAnsi"/>
                <w:sz w:val="26"/>
                <w:szCs w:val="26"/>
                <w:vertAlign w:val="superscript"/>
              </w:rPr>
              <w:t>3</w:t>
            </w:r>
            <w:r w:rsidRPr="00F965AC">
              <w:rPr>
                <w:rFonts w:asciiTheme="majorHAnsi" w:hAnsiTheme="majorHAnsi" w:cstheme="majorHAnsi"/>
                <w:sz w:val="26"/>
                <w:szCs w:val="26"/>
              </w:rPr>
              <w:t>. Cho dần thuốc nổ vào ống nhựa đã chuẩn bị và dùng chày gỗ chuyên dụng nén nhẹ để thuốc đạt mật độ khoảng 1,2 g/cm</w:t>
            </w:r>
            <w:r w:rsidRPr="00F965AC">
              <w:rPr>
                <w:rFonts w:asciiTheme="majorHAnsi" w:hAnsiTheme="majorHAnsi" w:cstheme="majorHAnsi"/>
                <w:sz w:val="26"/>
                <w:szCs w:val="26"/>
                <w:vertAlign w:val="superscript"/>
              </w:rPr>
              <w:t>3</w:t>
            </w:r>
            <w:r w:rsidRPr="00F965AC">
              <w:rPr>
                <w:rFonts w:asciiTheme="majorHAnsi" w:hAnsiTheme="majorHAnsi" w:cstheme="majorHAnsi"/>
                <w:sz w:val="26"/>
                <w:szCs w:val="26"/>
              </w:rPr>
              <w:t xml:space="preserve"> trong toàn chiều dài ống. Tạo 02 lỗ tra dây quang đường kính 2 mm tại 02 lỗ chờ</w:t>
            </w:r>
            <w:r w:rsidRPr="00F965AC">
              <w:rPr>
                <w:rFonts w:asciiTheme="majorHAnsi" w:hAnsiTheme="majorHAnsi" w:cstheme="majorHAnsi"/>
                <w:bCs/>
                <w:spacing w:val="-4"/>
                <w:sz w:val="26"/>
                <w:szCs w:val="26"/>
              </w:rPr>
              <w:t xml:space="preserve"> </w:t>
            </w:r>
            <w:r w:rsidRPr="00F965AC">
              <w:rPr>
                <w:rFonts w:asciiTheme="majorHAnsi" w:hAnsiTheme="majorHAnsi" w:cstheme="majorHAnsi"/>
                <w:sz w:val="26"/>
                <w:szCs w:val="26"/>
              </w:rPr>
              <w:t>và 01 lỗ tra kíp đường kính 7,5 mm, chiều sâu từ 10 mm đến 15 mm tại đầu thỏi thuốc đảm bảo k</w:t>
            </w:r>
            <w:r w:rsidRPr="00F965AC">
              <w:rPr>
                <w:rFonts w:asciiTheme="majorHAnsi" w:eastAsia="Calibri" w:hAnsiTheme="majorHAnsi" w:cstheme="majorHAnsi"/>
                <w:bCs/>
                <w:sz w:val="26"/>
                <w:szCs w:val="26"/>
                <w:lang w:eastAsia="ja-JP"/>
              </w:rPr>
              <w:t>hoảng cách từ đáy kíp đến vị trí dây quang gần nhất phải không nhỏ hơn 50 mm</w:t>
            </w:r>
          </w:p>
          <w:p w14:paraId="1AE54069" w14:textId="12632558" w:rsidR="003062F0" w:rsidRPr="00C15228" w:rsidRDefault="003062F0" w:rsidP="003062F0">
            <w:pPr>
              <w:spacing w:before="120" w:after="120"/>
              <w:jc w:val="both"/>
              <w:rPr>
                <w:rFonts w:asciiTheme="majorHAnsi" w:eastAsia="Calibri" w:hAnsiTheme="majorHAnsi" w:cstheme="majorHAnsi"/>
                <w:bCs/>
                <w:sz w:val="26"/>
                <w:szCs w:val="26"/>
                <w:lang w:val="en-US" w:eastAsia="ja-JP"/>
              </w:rPr>
            </w:pPr>
            <w:r w:rsidRPr="00F965AC">
              <w:rPr>
                <w:rFonts w:asciiTheme="majorHAnsi" w:hAnsiTheme="majorHAnsi" w:cstheme="majorHAnsi"/>
                <w:sz w:val="26"/>
                <w:szCs w:val="26"/>
              </w:rPr>
              <w:t>7.3.3.3. Rải cát để tạo mặt phẳng</w:t>
            </w:r>
          </w:p>
          <w:p w14:paraId="67E4AECB" w14:textId="77777777" w:rsidR="003062F0" w:rsidRPr="00F965AC" w:rsidRDefault="003062F0" w:rsidP="003062F0">
            <w:pPr>
              <w:spacing w:before="120" w:after="120"/>
              <w:jc w:val="both"/>
              <w:rPr>
                <w:rFonts w:asciiTheme="majorHAnsi" w:eastAsia="Calibri" w:hAnsiTheme="majorHAnsi" w:cstheme="majorHAnsi"/>
                <w:bCs/>
                <w:w w:val="97"/>
                <w:sz w:val="26"/>
                <w:szCs w:val="26"/>
                <w:lang w:eastAsia="ja-JP"/>
              </w:rPr>
            </w:pPr>
            <w:r w:rsidRPr="00F965AC">
              <w:rPr>
                <w:rFonts w:asciiTheme="majorHAnsi" w:eastAsia="Calibri" w:hAnsiTheme="majorHAnsi" w:cstheme="majorHAnsi"/>
                <w:bCs/>
                <w:w w:val="97"/>
                <w:sz w:val="26"/>
                <w:szCs w:val="26"/>
                <w:lang w:eastAsia="ja-JP"/>
              </w:rPr>
              <w:lastRenderedPageBreak/>
              <w:t>Chuẩn bị mẫu và cách đấu dây với kíp nổ điện số 8 được thể hiện tại Hình 1.</w:t>
            </w:r>
          </w:p>
          <w:p w14:paraId="4B1299DB" w14:textId="601E9CF5" w:rsidR="003062F0" w:rsidRPr="00F965AC" w:rsidRDefault="003062F0" w:rsidP="003062F0">
            <w:pPr>
              <w:spacing w:before="120" w:after="120"/>
              <w:jc w:val="center"/>
              <w:rPr>
                <w:rFonts w:asciiTheme="majorHAnsi" w:hAnsiTheme="majorHAnsi" w:cstheme="majorHAnsi"/>
                <w:sz w:val="26"/>
                <w:szCs w:val="26"/>
              </w:rPr>
            </w:pPr>
            <w:r w:rsidRPr="00F965AC">
              <w:rPr>
                <w:rFonts w:asciiTheme="majorHAnsi" w:hAnsiTheme="majorHAnsi" w:cstheme="majorHAnsi"/>
                <w:noProof/>
                <w:sz w:val="26"/>
                <w:szCs w:val="26"/>
                <w:lang w:val="x-none"/>
              </w:rPr>
              <w:drawing>
                <wp:inline distT="0" distB="0" distL="0" distR="0" wp14:anchorId="433430FB" wp14:editId="7F1EEAB2">
                  <wp:extent cx="3823335" cy="1591945"/>
                  <wp:effectExtent l="0" t="0" r="0" b="8255"/>
                  <wp:docPr id="32073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3335" cy="1591945"/>
                          </a:xfrm>
                          <a:prstGeom prst="rect">
                            <a:avLst/>
                          </a:prstGeom>
                          <a:noFill/>
                          <a:ln>
                            <a:noFill/>
                          </a:ln>
                        </pic:spPr>
                      </pic:pic>
                    </a:graphicData>
                  </a:graphic>
                </wp:inline>
              </w:drawing>
            </w:r>
          </w:p>
          <w:p w14:paraId="23A546EB" w14:textId="77777777" w:rsidR="003062F0" w:rsidRPr="00F965AC" w:rsidRDefault="003062F0" w:rsidP="003062F0">
            <w:pPr>
              <w:spacing w:before="120" w:after="120"/>
              <w:jc w:val="center"/>
              <w:rPr>
                <w:rFonts w:asciiTheme="majorHAnsi" w:hAnsiTheme="majorHAnsi" w:cstheme="majorHAnsi"/>
                <w:sz w:val="26"/>
                <w:szCs w:val="26"/>
              </w:rPr>
            </w:pPr>
            <w:r w:rsidRPr="00F965AC">
              <w:rPr>
                <w:rFonts w:asciiTheme="majorHAnsi" w:hAnsiTheme="majorHAnsi" w:cstheme="majorHAnsi"/>
                <w:sz w:val="26"/>
                <w:szCs w:val="26"/>
              </w:rPr>
              <w:t>1. Dây quang</w:t>
            </w:r>
            <w:r w:rsidRPr="00F965AC">
              <w:rPr>
                <w:rFonts w:asciiTheme="majorHAnsi" w:hAnsiTheme="majorHAnsi" w:cstheme="majorHAnsi"/>
                <w:sz w:val="26"/>
                <w:szCs w:val="26"/>
              </w:rPr>
              <w:tab/>
            </w:r>
            <w:r w:rsidRPr="00F965AC">
              <w:rPr>
                <w:rFonts w:asciiTheme="majorHAnsi" w:hAnsiTheme="majorHAnsi" w:cstheme="majorHAnsi"/>
                <w:sz w:val="26"/>
                <w:szCs w:val="26"/>
              </w:rPr>
              <w:tab/>
              <w:t>2. Kíp nổ điện số 8</w:t>
            </w:r>
            <w:r w:rsidRPr="00F965AC">
              <w:rPr>
                <w:rFonts w:asciiTheme="majorHAnsi" w:hAnsiTheme="majorHAnsi" w:cstheme="majorHAnsi"/>
                <w:sz w:val="26"/>
                <w:szCs w:val="26"/>
              </w:rPr>
              <w:tab/>
            </w:r>
            <w:r w:rsidRPr="00F965AC">
              <w:rPr>
                <w:rFonts w:asciiTheme="majorHAnsi" w:hAnsiTheme="majorHAnsi" w:cstheme="majorHAnsi"/>
                <w:sz w:val="26"/>
                <w:szCs w:val="26"/>
              </w:rPr>
              <w:tab/>
              <w:t>3. Thuốc nổ hỗn hợp của thuốc nổ mạnh đơn chất</w:t>
            </w:r>
          </w:p>
          <w:p w14:paraId="169E6F7A" w14:textId="77777777" w:rsidR="003062F0" w:rsidRPr="00F965AC" w:rsidRDefault="003062F0" w:rsidP="003062F0">
            <w:pPr>
              <w:spacing w:before="120" w:after="120"/>
              <w:ind w:firstLine="709"/>
              <w:jc w:val="center"/>
              <w:rPr>
                <w:rFonts w:asciiTheme="majorHAnsi" w:hAnsiTheme="majorHAnsi" w:cstheme="majorHAnsi"/>
                <w:b/>
                <w:bCs/>
                <w:iCs/>
                <w:sz w:val="26"/>
                <w:szCs w:val="26"/>
              </w:rPr>
            </w:pPr>
            <w:r w:rsidRPr="00F965AC">
              <w:rPr>
                <w:rFonts w:asciiTheme="majorHAnsi" w:hAnsiTheme="majorHAnsi" w:cstheme="majorHAnsi"/>
                <w:b/>
                <w:bCs/>
                <w:iCs/>
                <w:sz w:val="26"/>
                <w:szCs w:val="26"/>
              </w:rPr>
              <w:t xml:space="preserve">Hình 1. </w:t>
            </w:r>
            <w:bookmarkStart w:id="0" w:name="_Hlk98939259"/>
            <w:r w:rsidRPr="00F965AC">
              <w:rPr>
                <w:rFonts w:asciiTheme="majorHAnsi" w:hAnsiTheme="majorHAnsi" w:cstheme="majorHAnsi"/>
                <w:b/>
                <w:bCs/>
                <w:iCs/>
                <w:sz w:val="26"/>
                <w:szCs w:val="26"/>
              </w:rPr>
              <w:t>Sơ đồ chuẩn bị mẫu và cách đấu dây kíp nổ điện số 8</w:t>
            </w:r>
          </w:p>
          <w:bookmarkEnd w:id="0"/>
          <w:p w14:paraId="57276772" w14:textId="77777777" w:rsidR="003062F0" w:rsidRPr="00F965AC" w:rsidRDefault="003062F0" w:rsidP="003062F0">
            <w:pPr>
              <w:spacing w:before="120" w:after="120"/>
              <w:jc w:val="both"/>
              <w:rPr>
                <w:rFonts w:asciiTheme="majorHAnsi" w:hAnsiTheme="majorHAnsi" w:cstheme="majorHAnsi"/>
                <w:bCs/>
                <w:sz w:val="26"/>
                <w:szCs w:val="26"/>
              </w:rPr>
            </w:pPr>
            <w:r w:rsidRPr="00F965AC">
              <w:rPr>
                <w:rFonts w:asciiTheme="majorHAnsi" w:hAnsiTheme="majorHAnsi" w:cstheme="majorHAnsi"/>
                <w:bCs/>
                <w:sz w:val="26"/>
                <w:szCs w:val="26"/>
              </w:rPr>
              <w:t>7.3.4. Tiến hành đo</w:t>
            </w:r>
          </w:p>
          <w:p w14:paraId="1DB86F3C" w14:textId="77777777" w:rsidR="003062F0" w:rsidRPr="00F965AC" w:rsidRDefault="003062F0" w:rsidP="003062F0">
            <w:pPr>
              <w:spacing w:before="120" w:after="120"/>
              <w:jc w:val="both"/>
              <w:rPr>
                <w:rFonts w:asciiTheme="majorHAnsi" w:hAnsiTheme="majorHAnsi" w:cstheme="majorHAnsi"/>
                <w:sz w:val="26"/>
                <w:szCs w:val="26"/>
              </w:rPr>
            </w:pPr>
            <w:r w:rsidRPr="00F965AC">
              <w:rPr>
                <w:rFonts w:asciiTheme="majorHAnsi" w:hAnsiTheme="majorHAnsi" w:cstheme="majorHAnsi"/>
                <w:sz w:val="26"/>
                <w:szCs w:val="26"/>
              </w:rPr>
              <w:t>7.3.4.1 Tra kíp điện số 8 vào lỗ đã tạo trên thỏi thuốc.</w:t>
            </w:r>
          </w:p>
          <w:p w14:paraId="47901D13" w14:textId="77777777" w:rsidR="003062F0" w:rsidRPr="00F965AC" w:rsidRDefault="003062F0" w:rsidP="003062F0">
            <w:pPr>
              <w:spacing w:before="120" w:after="120"/>
              <w:jc w:val="both"/>
              <w:rPr>
                <w:rFonts w:asciiTheme="majorHAnsi" w:hAnsiTheme="majorHAnsi" w:cstheme="majorHAnsi"/>
                <w:sz w:val="26"/>
                <w:szCs w:val="26"/>
              </w:rPr>
            </w:pPr>
            <w:r w:rsidRPr="00F965AC">
              <w:rPr>
                <w:rFonts w:asciiTheme="majorHAnsi" w:hAnsiTheme="majorHAnsi" w:cstheme="majorHAnsi"/>
                <w:sz w:val="26"/>
                <w:szCs w:val="26"/>
              </w:rPr>
              <w:t>7.3.4.2. Nhập số liệu khoảng cách giữa hai dây Start và Stop trên máy đo. Kiểm tra sự sẵn sàng của máy đo (sẵn sàng ghi lại các dữ liệu của quá trình nổ);</w:t>
            </w:r>
          </w:p>
          <w:p w14:paraId="7EB8384B" w14:textId="77777777" w:rsidR="003062F0" w:rsidRPr="00F965AC" w:rsidRDefault="003062F0" w:rsidP="003062F0">
            <w:pPr>
              <w:spacing w:before="120" w:after="120"/>
              <w:jc w:val="both"/>
              <w:rPr>
                <w:rFonts w:asciiTheme="majorHAnsi" w:hAnsiTheme="majorHAnsi" w:cstheme="majorHAnsi"/>
                <w:sz w:val="26"/>
                <w:szCs w:val="26"/>
              </w:rPr>
            </w:pPr>
            <w:r w:rsidRPr="00F965AC">
              <w:rPr>
                <w:rFonts w:asciiTheme="majorHAnsi" w:hAnsiTheme="majorHAnsi" w:cstheme="majorHAnsi"/>
                <w:sz w:val="26"/>
                <w:szCs w:val="26"/>
              </w:rPr>
              <w:t>7.3.4.3. Tiến hành kích nổ thỏi thuốc, máy đo sẽ bắt đầu thu nhận thông tin về tốc độ nổ. Kết quả tốc độ nổ được thể hiện trên máy đo bằng phần mềm đi kèm.</w:t>
            </w:r>
          </w:p>
          <w:p w14:paraId="7C547FA4" w14:textId="77777777" w:rsidR="003062F0" w:rsidRPr="00F965AC" w:rsidRDefault="003062F0" w:rsidP="003062F0">
            <w:pPr>
              <w:shd w:val="clear" w:color="auto" w:fill="FFFFFF"/>
              <w:spacing w:before="120" w:after="120"/>
              <w:jc w:val="both"/>
              <w:rPr>
                <w:rFonts w:asciiTheme="majorHAnsi" w:hAnsiTheme="majorHAnsi" w:cstheme="majorHAnsi"/>
                <w:sz w:val="26"/>
                <w:szCs w:val="26"/>
              </w:rPr>
            </w:pPr>
            <w:r w:rsidRPr="00F965AC">
              <w:rPr>
                <w:rFonts w:asciiTheme="majorHAnsi" w:hAnsiTheme="majorHAnsi" w:cstheme="majorHAnsi"/>
                <w:sz w:val="26"/>
                <w:szCs w:val="26"/>
              </w:rPr>
              <w:t xml:space="preserve">Thí nghiệm được tiến hành tối thiểu 03 lần, sai số giữa các kết quả đo không được lớn hơn ± 200 m/s. Kết quả </w:t>
            </w:r>
            <w:r w:rsidRPr="00F965AC">
              <w:rPr>
                <w:rFonts w:asciiTheme="majorHAnsi" w:hAnsiTheme="majorHAnsi" w:cstheme="majorHAnsi"/>
                <w:sz w:val="26"/>
                <w:szCs w:val="26"/>
              </w:rPr>
              <w:lastRenderedPageBreak/>
              <w:t>là giá trị trung bình của các phép thử, làm tròn đến số nguyên.</w:t>
            </w:r>
          </w:p>
          <w:p w14:paraId="55FE33F4" w14:textId="50B1B415" w:rsidR="003062F0" w:rsidRPr="00F965AC" w:rsidRDefault="003062F0" w:rsidP="003062F0">
            <w:pPr>
              <w:snapToGrid w:val="0"/>
              <w:jc w:val="both"/>
              <w:rPr>
                <w:rFonts w:asciiTheme="majorHAnsi" w:hAnsiTheme="majorHAnsi" w:cstheme="majorHAnsi"/>
                <w:bCs/>
                <w:spacing w:val="-2"/>
                <w:sz w:val="26"/>
                <w:szCs w:val="26"/>
                <w:lang w:val="en-US"/>
              </w:rPr>
            </w:pPr>
            <w:r w:rsidRPr="00F965AC">
              <w:rPr>
                <w:rFonts w:asciiTheme="majorHAnsi" w:hAnsiTheme="majorHAnsi" w:cstheme="majorHAnsi"/>
                <w:sz w:val="26"/>
                <w:szCs w:val="26"/>
              </w:rPr>
              <w:t>Mẫu thử đạt yêu cầu về tốc độ nổ khi đáp ứng quy định nêu tại Điều 5 của Quy chuẩn kỹ thuật này.</w:t>
            </w:r>
          </w:p>
        </w:tc>
        <w:tc>
          <w:tcPr>
            <w:tcW w:w="5245" w:type="dxa"/>
          </w:tcPr>
          <w:p w14:paraId="141BF4B4" w14:textId="2BB3D2EC" w:rsidR="003062F0" w:rsidRPr="00D12867" w:rsidRDefault="003062F0" w:rsidP="00D12867">
            <w:pPr>
              <w:widowControl w:val="0"/>
              <w:shd w:val="clear" w:color="auto" w:fill="FFFFFF"/>
              <w:spacing w:before="60" w:after="60"/>
              <w:jc w:val="both"/>
              <w:rPr>
                <w:rFonts w:asciiTheme="majorHAnsi" w:hAnsiTheme="majorHAnsi" w:cstheme="majorHAnsi"/>
                <w:sz w:val="26"/>
                <w:szCs w:val="26"/>
                <w:vertAlign w:val="superscript"/>
              </w:rPr>
            </w:pPr>
            <w:r w:rsidRPr="003062F0">
              <w:rPr>
                <w:rFonts w:asciiTheme="majorHAnsi" w:hAnsiTheme="majorHAnsi" w:cstheme="majorHAnsi"/>
                <w:bCs/>
                <w:color w:val="EE0000"/>
                <w:sz w:val="26"/>
                <w:szCs w:val="26"/>
                <w:lang w:val="en-US"/>
              </w:rPr>
              <w:lastRenderedPageBreak/>
              <w:t xml:space="preserve">QCVN 12-12:2022/BCT </w:t>
            </w:r>
            <w:r w:rsidR="00D12867">
              <w:rPr>
                <w:rFonts w:asciiTheme="majorHAnsi" w:hAnsiTheme="majorHAnsi" w:cstheme="majorHAnsi"/>
                <w:bCs/>
                <w:color w:val="EE0000"/>
                <w:sz w:val="26"/>
                <w:szCs w:val="26"/>
                <w:lang w:val="en-US"/>
              </w:rPr>
              <w:t xml:space="preserve">quy định </w:t>
            </w:r>
            <w:r w:rsidR="00D12867" w:rsidRPr="003062F0">
              <w:rPr>
                <w:rFonts w:asciiTheme="majorHAnsi" w:hAnsiTheme="majorHAnsi" w:cstheme="majorHAnsi"/>
                <w:bCs/>
                <w:color w:val="EE0000"/>
                <w:sz w:val="26"/>
                <w:szCs w:val="26"/>
                <w:lang w:val="en-US"/>
              </w:rPr>
              <w:t>x</w:t>
            </w:r>
            <w:r w:rsidR="00D12867" w:rsidRPr="003062F0">
              <w:rPr>
                <w:rFonts w:asciiTheme="majorHAnsi" w:hAnsiTheme="majorHAnsi" w:cstheme="majorHAnsi"/>
                <w:color w:val="EE0000"/>
                <w:sz w:val="26"/>
                <w:szCs w:val="26"/>
              </w:rPr>
              <w:t xml:space="preserve">ác định </w:t>
            </w:r>
            <w:r w:rsidR="00D12867" w:rsidRPr="003062F0">
              <w:rPr>
                <w:rFonts w:asciiTheme="majorHAnsi" w:hAnsiTheme="majorHAnsi" w:cstheme="majorHAnsi"/>
                <w:color w:val="EE0000"/>
                <w:sz w:val="26"/>
                <w:szCs w:val="26"/>
                <w:lang w:val="en-US"/>
              </w:rPr>
              <w:t>tốc độ nổ</w:t>
            </w:r>
            <w:r w:rsidR="00D12867" w:rsidRPr="003062F0">
              <w:rPr>
                <w:rFonts w:asciiTheme="majorHAnsi" w:hAnsiTheme="majorHAnsi" w:cstheme="majorHAnsi"/>
                <w:bCs/>
                <w:color w:val="EE0000"/>
                <w:sz w:val="26"/>
                <w:szCs w:val="26"/>
                <w:lang w:val="en-US"/>
              </w:rPr>
              <w:t xml:space="preserve"> </w:t>
            </w:r>
            <w:r w:rsidR="00D12867">
              <w:rPr>
                <w:rFonts w:asciiTheme="majorHAnsi" w:hAnsiTheme="majorHAnsi" w:cstheme="majorHAnsi"/>
                <w:bCs/>
                <w:color w:val="EE0000"/>
                <w:sz w:val="26"/>
                <w:szCs w:val="26"/>
                <w:lang w:val="en-US"/>
              </w:rPr>
              <w:t xml:space="preserve">tại mật độ 1,0 </w:t>
            </w:r>
            <w:r w:rsidR="00D12867" w:rsidRPr="00F965AC">
              <w:rPr>
                <w:rFonts w:asciiTheme="majorHAnsi" w:hAnsiTheme="majorHAnsi" w:cstheme="majorHAnsi"/>
                <w:sz w:val="26"/>
                <w:szCs w:val="26"/>
              </w:rPr>
              <w:t>g/cm</w:t>
            </w:r>
            <w:r w:rsidR="00D12867" w:rsidRPr="00F965AC">
              <w:rPr>
                <w:rFonts w:asciiTheme="majorHAnsi" w:hAnsiTheme="majorHAnsi" w:cstheme="majorHAnsi"/>
                <w:sz w:val="26"/>
                <w:szCs w:val="26"/>
                <w:vertAlign w:val="superscript"/>
              </w:rPr>
              <w:t>3</w:t>
            </w:r>
            <w:r w:rsidR="00D12867">
              <w:rPr>
                <w:rFonts w:asciiTheme="majorHAnsi" w:hAnsiTheme="majorHAnsi" w:cstheme="majorHAnsi"/>
                <w:sz w:val="26"/>
                <w:szCs w:val="26"/>
                <w:vertAlign w:val="superscript"/>
                <w:lang w:val="en-US"/>
              </w:rPr>
              <w:t xml:space="preserve"> </w:t>
            </w:r>
            <w:r w:rsidRPr="003062F0">
              <w:rPr>
                <w:rFonts w:asciiTheme="majorHAnsi" w:hAnsiTheme="majorHAnsi" w:cstheme="majorHAnsi"/>
                <w:bCs/>
                <w:color w:val="EE0000"/>
                <w:sz w:val="26"/>
                <w:szCs w:val="26"/>
                <w:lang w:val="en-US"/>
              </w:rPr>
              <w:t xml:space="preserve">và trong quá trình thực hiện </w:t>
            </w:r>
            <w:r w:rsidR="00D12867">
              <w:rPr>
                <w:rFonts w:asciiTheme="majorHAnsi" w:hAnsiTheme="majorHAnsi" w:cstheme="majorHAnsi"/>
                <w:bCs/>
                <w:color w:val="EE0000"/>
                <w:sz w:val="26"/>
                <w:szCs w:val="26"/>
                <w:lang w:val="en-US"/>
              </w:rPr>
              <w:t xml:space="preserve">tại các đơn vị thử nghiệm, phương pháp này có thể áp dụng đối với mật độ nạp 1,2 </w:t>
            </w:r>
            <w:r w:rsidR="00D12867" w:rsidRPr="00F965AC">
              <w:rPr>
                <w:rFonts w:asciiTheme="majorHAnsi" w:hAnsiTheme="majorHAnsi" w:cstheme="majorHAnsi"/>
                <w:sz w:val="26"/>
                <w:szCs w:val="26"/>
              </w:rPr>
              <w:t>g/cm</w:t>
            </w:r>
            <w:r w:rsidR="00D12867" w:rsidRPr="00F965AC">
              <w:rPr>
                <w:rFonts w:asciiTheme="majorHAnsi" w:hAnsiTheme="majorHAnsi" w:cstheme="majorHAnsi"/>
                <w:sz w:val="26"/>
                <w:szCs w:val="26"/>
                <w:vertAlign w:val="superscript"/>
              </w:rPr>
              <w:t>3</w:t>
            </w:r>
            <w:r w:rsidR="00D12867">
              <w:rPr>
                <w:rFonts w:asciiTheme="majorHAnsi" w:hAnsiTheme="majorHAnsi" w:cstheme="majorHAnsi"/>
                <w:sz w:val="26"/>
                <w:szCs w:val="26"/>
                <w:vertAlign w:val="superscript"/>
                <w:lang w:val="en-US"/>
              </w:rPr>
              <w:t xml:space="preserve"> </w:t>
            </w:r>
            <w:r w:rsidRPr="003062F0">
              <w:rPr>
                <w:rFonts w:asciiTheme="majorHAnsi" w:hAnsiTheme="majorHAnsi" w:cstheme="majorHAnsi"/>
                <w:bCs/>
                <w:color w:val="EE0000"/>
                <w:sz w:val="26"/>
                <w:szCs w:val="26"/>
                <w:lang w:val="en-US"/>
              </w:rPr>
              <w:t>đảm bảo</w:t>
            </w:r>
            <w:r w:rsidR="00D12867">
              <w:rPr>
                <w:rFonts w:asciiTheme="majorHAnsi" w:hAnsiTheme="majorHAnsi" w:cstheme="majorHAnsi"/>
                <w:bCs/>
                <w:color w:val="EE0000"/>
                <w:sz w:val="26"/>
                <w:szCs w:val="26"/>
                <w:lang w:val="en-US"/>
              </w:rPr>
              <w:t xml:space="preserve"> an toàn trong quá trình thử nghiệm</w:t>
            </w:r>
            <w:r w:rsidRPr="003062F0">
              <w:rPr>
                <w:rFonts w:asciiTheme="majorHAnsi" w:hAnsiTheme="majorHAnsi" w:cstheme="majorHAnsi"/>
                <w:bCs/>
                <w:color w:val="EE0000"/>
                <w:sz w:val="26"/>
                <w:szCs w:val="26"/>
                <w:lang w:val="en-US"/>
              </w:rPr>
              <w:t xml:space="preserve"> theo quy định. Theo đó, dự thảo QCVN kế thừa phương pháp thử </w:t>
            </w:r>
            <w:r w:rsidR="00D12867" w:rsidRPr="003062F0">
              <w:rPr>
                <w:rFonts w:asciiTheme="majorHAnsi" w:hAnsiTheme="majorHAnsi" w:cstheme="majorHAnsi"/>
                <w:bCs/>
                <w:color w:val="EE0000"/>
                <w:sz w:val="26"/>
                <w:szCs w:val="26"/>
                <w:lang w:val="en-US"/>
              </w:rPr>
              <w:t>x</w:t>
            </w:r>
            <w:r w:rsidR="00D12867" w:rsidRPr="003062F0">
              <w:rPr>
                <w:rFonts w:asciiTheme="majorHAnsi" w:hAnsiTheme="majorHAnsi" w:cstheme="majorHAnsi"/>
                <w:color w:val="EE0000"/>
                <w:sz w:val="26"/>
                <w:szCs w:val="26"/>
              </w:rPr>
              <w:t xml:space="preserve">ác định </w:t>
            </w:r>
            <w:r w:rsidR="00D12867" w:rsidRPr="003062F0">
              <w:rPr>
                <w:rFonts w:asciiTheme="majorHAnsi" w:hAnsiTheme="majorHAnsi" w:cstheme="majorHAnsi"/>
                <w:color w:val="EE0000"/>
                <w:sz w:val="26"/>
                <w:szCs w:val="26"/>
                <w:lang w:val="en-US"/>
              </w:rPr>
              <w:t>tốc độ nổ</w:t>
            </w:r>
            <w:r w:rsidR="00D12867" w:rsidRPr="003062F0">
              <w:rPr>
                <w:rFonts w:asciiTheme="majorHAnsi" w:hAnsiTheme="majorHAnsi" w:cstheme="majorHAnsi"/>
                <w:bCs/>
                <w:color w:val="EE0000"/>
                <w:sz w:val="26"/>
                <w:szCs w:val="26"/>
                <w:lang w:val="en-US"/>
              </w:rPr>
              <w:t xml:space="preserve"> </w:t>
            </w:r>
            <w:r w:rsidR="00D12867">
              <w:rPr>
                <w:rFonts w:asciiTheme="majorHAnsi" w:hAnsiTheme="majorHAnsi" w:cstheme="majorHAnsi"/>
                <w:bCs/>
                <w:color w:val="EE0000"/>
                <w:sz w:val="26"/>
                <w:szCs w:val="26"/>
                <w:lang w:val="en-US"/>
              </w:rPr>
              <w:t xml:space="preserve">tại mật độ 1,0 </w:t>
            </w:r>
            <w:r w:rsidR="00D12867" w:rsidRPr="00F965AC">
              <w:rPr>
                <w:rFonts w:asciiTheme="majorHAnsi" w:hAnsiTheme="majorHAnsi" w:cstheme="majorHAnsi"/>
                <w:sz w:val="26"/>
                <w:szCs w:val="26"/>
              </w:rPr>
              <w:t>g/cm</w:t>
            </w:r>
            <w:r w:rsidR="00D12867" w:rsidRPr="00F965AC">
              <w:rPr>
                <w:rFonts w:asciiTheme="majorHAnsi" w:hAnsiTheme="majorHAnsi" w:cstheme="majorHAnsi"/>
                <w:sz w:val="26"/>
                <w:szCs w:val="26"/>
                <w:vertAlign w:val="superscript"/>
              </w:rPr>
              <w:t>3</w:t>
            </w:r>
            <w:r w:rsidRPr="003062F0">
              <w:rPr>
                <w:rFonts w:asciiTheme="majorHAnsi" w:hAnsiTheme="majorHAnsi" w:cstheme="majorHAnsi"/>
                <w:bCs/>
                <w:color w:val="EE0000"/>
                <w:sz w:val="26"/>
                <w:szCs w:val="26"/>
                <w:lang w:val="en-US"/>
              </w:rPr>
              <w:t xml:space="preserve"> tại QCVN 12-12:2022/BCT</w:t>
            </w:r>
          </w:p>
        </w:tc>
      </w:tr>
      <w:tr w:rsidR="00D12867" w:rsidRPr="00BA5387" w14:paraId="684AD7C7" w14:textId="77777777" w:rsidTr="00E86916">
        <w:trPr>
          <w:trHeight w:val="125"/>
        </w:trPr>
        <w:tc>
          <w:tcPr>
            <w:tcW w:w="3431" w:type="dxa"/>
          </w:tcPr>
          <w:p w14:paraId="41F8A8AD" w14:textId="77777777" w:rsidR="00D12867" w:rsidRPr="00F965AC" w:rsidRDefault="00D12867" w:rsidP="00D12867">
            <w:pPr>
              <w:widowControl w:val="0"/>
              <w:shd w:val="clear" w:color="auto" w:fill="FFFFFF"/>
              <w:jc w:val="both"/>
              <w:rPr>
                <w:rFonts w:asciiTheme="majorHAnsi" w:hAnsiTheme="majorHAnsi" w:cstheme="majorHAnsi"/>
                <w:sz w:val="26"/>
                <w:szCs w:val="26"/>
                <w:lang w:val="en-US"/>
              </w:rPr>
            </w:pPr>
          </w:p>
        </w:tc>
        <w:tc>
          <w:tcPr>
            <w:tcW w:w="5812" w:type="dxa"/>
          </w:tcPr>
          <w:p w14:paraId="69BF4B24" w14:textId="77777777" w:rsidR="00D12867" w:rsidRPr="00F965AC" w:rsidRDefault="00D12867" w:rsidP="00D12867">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7.4. Xác định tốc độ nổ ở mật độ 1,5 g/cm</w:t>
            </w:r>
            <w:r w:rsidRPr="00F965AC">
              <w:rPr>
                <w:rFonts w:asciiTheme="majorHAnsi" w:hAnsiTheme="majorHAnsi" w:cstheme="majorHAnsi"/>
                <w:sz w:val="26"/>
                <w:szCs w:val="26"/>
                <w:vertAlign w:val="superscript"/>
              </w:rPr>
              <w:t>3</w:t>
            </w:r>
          </w:p>
          <w:p w14:paraId="6AB2990A" w14:textId="77777777" w:rsidR="00D12867" w:rsidRPr="00F965AC" w:rsidRDefault="00D12867" w:rsidP="00D12867">
            <w:pPr>
              <w:widowControl w:val="0"/>
              <w:spacing w:before="60" w:after="60"/>
              <w:jc w:val="both"/>
              <w:rPr>
                <w:rFonts w:asciiTheme="majorHAnsi" w:hAnsiTheme="majorHAnsi" w:cstheme="majorHAnsi"/>
                <w:bCs/>
                <w:sz w:val="26"/>
                <w:szCs w:val="26"/>
              </w:rPr>
            </w:pPr>
            <w:r w:rsidRPr="00F965AC">
              <w:rPr>
                <w:rFonts w:asciiTheme="majorHAnsi" w:hAnsiTheme="majorHAnsi" w:cstheme="majorHAnsi"/>
                <w:bCs/>
                <w:sz w:val="26"/>
                <w:szCs w:val="26"/>
              </w:rPr>
              <w:t>7.4.1. Nguyên tắc</w:t>
            </w:r>
          </w:p>
          <w:p w14:paraId="60A6033A" w14:textId="77777777" w:rsidR="00D12867" w:rsidRPr="00F965AC" w:rsidRDefault="00D12867" w:rsidP="00D12867">
            <w:pPr>
              <w:widowControl w:val="0"/>
              <w:shd w:val="clear" w:color="auto" w:fill="FFFFFF"/>
              <w:spacing w:before="60" w:after="60"/>
              <w:jc w:val="both"/>
              <w:rPr>
                <w:rFonts w:asciiTheme="majorHAnsi" w:hAnsiTheme="majorHAnsi" w:cstheme="majorHAnsi"/>
                <w:bCs/>
                <w:sz w:val="26"/>
                <w:szCs w:val="26"/>
              </w:rPr>
            </w:pPr>
            <w:r w:rsidRPr="00F965AC">
              <w:rPr>
                <w:rFonts w:asciiTheme="majorHAnsi" w:hAnsiTheme="majorHAnsi" w:cstheme="majorHAnsi"/>
                <w:bCs/>
                <w:sz w:val="26"/>
                <w:szCs w:val="26"/>
              </w:rPr>
              <w:t>Dùng máy đo thời gian xác định thời gian sóng truyền nổ qua một chiều dài nhất định trên thỏi thuốc từ đó xác định tốc độ nổ.</w:t>
            </w:r>
          </w:p>
          <w:p w14:paraId="5BD6A5CE" w14:textId="77777777" w:rsidR="00D12867" w:rsidRPr="00F965AC" w:rsidRDefault="00D12867" w:rsidP="00D12867">
            <w:pPr>
              <w:widowControl w:val="0"/>
              <w:spacing w:before="60" w:after="60"/>
              <w:jc w:val="both"/>
              <w:rPr>
                <w:rFonts w:asciiTheme="majorHAnsi" w:hAnsiTheme="majorHAnsi" w:cstheme="majorHAnsi"/>
                <w:bCs/>
                <w:sz w:val="26"/>
                <w:szCs w:val="26"/>
              </w:rPr>
            </w:pPr>
            <w:r w:rsidRPr="00F965AC">
              <w:rPr>
                <w:rFonts w:asciiTheme="majorHAnsi" w:hAnsiTheme="majorHAnsi" w:cstheme="majorHAnsi"/>
                <w:bCs/>
                <w:sz w:val="26"/>
                <w:szCs w:val="26"/>
              </w:rPr>
              <w:t>7.4.2. Vật tư, thiết bị, dụng cụ</w:t>
            </w:r>
          </w:p>
          <w:p w14:paraId="54A3B297" w14:textId="77777777" w:rsidR="00D12867" w:rsidRPr="00F965AC" w:rsidRDefault="00D12867" w:rsidP="00D12867">
            <w:pPr>
              <w:widowControl w:val="0"/>
              <w:spacing w:before="60" w:after="60"/>
              <w:jc w:val="both"/>
              <w:rPr>
                <w:rFonts w:asciiTheme="majorHAnsi" w:hAnsiTheme="majorHAnsi" w:cstheme="majorHAnsi"/>
                <w:bCs/>
                <w:sz w:val="26"/>
                <w:szCs w:val="26"/>
              </w:rPr>
            </w:pPr>
            <w:r w:rsidRPr="00F965AC">
              <w:rPr>
                <w:rFonts w:asciiTheme="majorHAnsi" w:hAnsiTheme="majorHAnsi" w:cstheme="majorHAnsi"/>
                <w:bCs/>
                <w:sz w:val="26"/>
                <w:szCs w:val="26"/>
              </w:rPr>
              <w:t>7.4.2.1. Máy đo tốc độ nổ và dây quang đồng bộ.</w:t>
            </w:r>
          </w:p>
          <w:p w14:paraId="27073422" w14:textId="77777777" w:rsidR="00D12867" w:rsidRPr="00F965AC" w:rsidRDefault="00D12867" w:rsidP="00D12867">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t>7.4.2.2.</w:t>
            </w:r>
            <w:r w:rsidRPr="00F965AC">
              <w:rPr>
                <w:rFonts w:asciiTheme="majorHAnsi" w:hAnsiTheme="majorHAnsi" w:cstheme="majorHAnsi"/>
                <w:sz w:val="26"/>
                <w:szCs w:val="26"/>
              </w:rPr>
              <w:t xml:space="preserve"> Kíp nổ điện số 8 theo quy định tại QCVN 12-25:2024/BCT.</w:t>
            </w:r>
          </w:p>
          <w:p w14:paraId="5A67B7B2" w14:textId="77777777" w:rsidR="00D12867" w:rsidRPr="00F965AC" w:rsidRDefault="00D12867" w:rsidP="00D12867">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t>7.4.2.3.</w:t>
            </w:r>
            <w:r w:rsidRPr="00F965AC">
              <w:rPr>
                <w:rFonts w:asciiTheme="majorHAnsi" w:hAnsiTheme="majorHAnsi" w:cstheme="majorHAnsi"/>
                <w:sz w:val="26"/>
                <w:szCs w:val="26"/>
              </w:rPr>
              <w:t xml:space="preserve"> Thuốc nổ hỗn hợp của các loại thuốc nổ mạnh đơn chất.</w:t>
            </w:r>
          </w:p>
          <w:p w14:paraId="57FEFC1B" w14:textId="77777777" w:rsidR="00D12867" w:rsidRPr="00F965AC" w:rsidRDefault="00D12867" w:rsidP="00D12867">
            <w:pPr>
              <w:widowControl w:val="0"/>
              <w:spacing w:before="60" w:after="60"/>
              <w:jc w:val="both"/>
              <w:rPr>
                <w:rFonts w:asciiTheme="majorHAnsi" w:hAnsiTheme="majorHAnsi" w:cstheme="majorHAnsi"/>
                <w:spacing w:val="-4"/>
                <w:sz w:val="26"/>
                <w:szCs w:val="26"/>
              </w:rPr>
            </w:pPr>
            <w:r w:rsidRPr="00F965AC">
              <w:rPr>
                <w:rFonts w:asciiTheme="majorHAnsi" w:hAnsiTheme="majorHAnsi" w:cstheme="majorHAnsi"/>
                <w:bCs/>
                <w:spacing w:val="-4"/>
                <w:sz w:val="26"/>
                <w:szCs w:val="26"/>
              </w:rPr>
              <w:t>7.4.2.4.</w:t>
            </w:r>
            <w:r w:rsidRPr="00F965AC">
              <w:rPr>
                <w:rFonts w:asciiTheme="majorHAnsi" w:hAnsiTheme="majorHAnsi" w:cstheme="majorHAnsi"/>
                <w:spacing w:val="-4"/>
                <w:sz w:val="26"/>
                <w:szCs w:val="26"/>
              </w:rPr>
              <w:t xml:space="preserve"> Máy nổ mìn chuyên dụng hoặc nguồn điện một chiều từ 6 V đến 12 V.</w:t>
            </w:r>
          </w:p>
          <w:p w14:paraId="6C1A8CD8" w14:textId="77777777" w:rsidR="00D12867" w:rsidRPr="00F965AC" w:rsidRDefault="00D12867" w:rsidP="00D12867">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7.4.2.5. Ống nhựa đường kính ngoài 34 mm, dày 2 mm.</w:t>
            </w:r>
          </w:p>
          <w:p w14:paraId="519A3008" w14:textId="77777777" w:rsidR="00D12867" w:rsidRPr="00F965AC" w:rsidRDefault="00D12867" w:rsidP="00D12867">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t>7.4.2.6.</w:t>
            </w:r>
            <w:r w:rsidRPr="00F965AC">
              <w:rPr>
                <w:rFonts w:asciiTheme="majorHAnsi" w:hAnsiTheme="majorHAnsi" w:cstheme="majorHAnsi"/>
                <w:sz w:val="26"/>
                <w:szCs w:val="26"/>
              </w:rPr>
              <w:t xml:space="preserve"> Thước vạch chuẩn, có chia vạch đến 1 mm.</w:t>
            </w:r>
          </w:p>
          <w:p w14:paraId="23317C99" w14:textId="77777777" w:rsidR="00D12867" w:rsidRPr="00F965AC" w:rsidRDefault="00D12867" w:rsidP="00D12867">
            <w:pPr>
              <w:widowControl w:val="0"/>
              <w:spacing w:before="60" w:after="60"/>
              <w:jc w:val="both"/>
              <w:rPr>
                <w:rFonts w:asciiTheme="majorHAnsi" w:hAnsiTheme="majorHAnsi" w:cstheme="majorHAnsi"/>
                <w:b/>
                <w:bCs/>
                <w:sz w:val="26"/>
                <w:szCs w:val="26"/>
              </w:rPr>
            </w:pPr>
            <w:r w:rsidRPr="00F965AC">
              <w:rPr>
                <w:rFonts w:asciiTheme="majorHAnsi" w:hAnsiTheme="majorHAnsi" w:cstheme="majorHAnsi"/>
                <w:bCs/>
                <w:sz w:val="26"/>
                <w:szCs w:val="26"/>
              </w:rPr>
              <w:t>7.4.2.7.</w:t>
            </w:r>
            <w:r w:rsidRPr="00F965AC">
              <w:rPr>
                <w:rFonts w:asciiTheme="majorHAnsi" w:hAnsiTheme="majorHAnsi" w:cstheme="majorHAnsi"/>
                <w:sz w:val="26"/>
                <w:szCs w:val="26"/>
              </w:rPr>
              <w:t xml:space="preserve"> Dao, kéo.</w:t>
            </w:r>
          </w:p>
          <w:p w14:paraId="3C85BD51" w14:textId="77777777" w:rsidR="00D12867" w:rsidRPr="00F965AC" w:rsidRDefault="00D12867" w:rsidP="00D12867">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t>7.4.2.8.</w:t>
            </w:r>
            <w:r w:rsidRPr="00F965AC">
              <w:rPr>
                <w:rFonts w:asciiTheme="majorHAnsi" w:hAnsiTheme="majorHAnsi" w:cstheme="majorHAnsi"/>
                <w:sz w:val="26"/>
                <w:szCs w:val="26"/>
              </w:rPr>
              <w:t xml:space="preserve"> Thước cặp có dải đo từ 0 mm đến 300 mm, sai số 0,02 mm.</w:t>
            </w:r>
          </w:p>
          <w:p w14:paraId="71BCAE0E" w14:textId="77777777" w:rsidR="00D12867" w:rsidRPr="00F965AC" w:rsidRDefault="00D12867" w:rsidP="00D12867">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rPr>
              <w:t>7.4.2.9.</w:t>
            </w:r>
            <w:r w:rsidRPr="00F965AC">
              <w:rPr>
                <w:rFonts w:asciiTheme="majorHAnsi" w:hAnsiTheme="majorHAnsi" w:cstheme="majorHAnsi"/>
                <w:sz w:val="26"/>
                <w:szCs w:val="26"/>
              </w:rPr>
              <w:t xml:space="preserve"> Hầm nổ hoặc bãi thử nổ.</w:t>
            </w:r>
          </w:p>
          <w:p w14:paraId="6E6E42EC" w14:textId="77777777" w:rsidR="00D12867" w:rsidRPr="00F965AC" w:rsidRDefault="00D12867" w:rsidP="00D12867">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7.4.3. Cách tiến hành</w:t>
            </w:r>
          </w:p>
          <w:p w14:paraId="170A510C" w14:textId="77777777" w:rsidR="00D12867" w:rsidRPr="00F965AC" w:rsidRDefault="00D12867" w:rsidP="00D12867">
            <w:pPr>
              <w:spacing w:line="276" w:lineRule="auto"/>
              <w:ind w:right="57"/>
              <w:contextualSpacing/>
              <w:jc w:val="both"/>
              <w:rPr>
                <w:rFonts w:asciiTheme="majorHAnsi" w:hAnsiTheme="majorHAnsi" w:cstheme="majorHAnsi"/>
                <w:bCs/>
                <w:spacing w:val="-4"/>
                <w:sz w:val="26"/>
                <w:szCs w:val="26"/>
              </w:rPr>
            </w:pPr>
            <w:r w:rsidRPr="00F965AC">
              <w:rPr>
                <w:rFonts w:asciiTheme="majorHAnsi" w:hAnsiTheme="majorHAnsi" w:cstheme="majorHAnsi"/>
                <w:sz w:val="26"/>
                <w:szCs w:val="26"/>
              </w:rPr>
              <w:lastRenderedPageBreak/>
              <w:t>7.4.3.1.</w:t>
            </w:r>
            <w:r w:rsidRPr="00F965AC">
              <w:rPr>
                <w:rFonts w:asciiTheme="majorHAnsi" w:hAnsiTheme="majorHAnsi" w:cstheme="majorHAnsi"/>
                <w:bCs/>
                <w:spacing w:val="-4"/>
                <w:sz w:val="26"/>
                <w:szCs w:val="26"/>
              </w:rPr>
              <w:t xml:space="preserve"> Cắt ống nhựa đường kính 32 mm, dày 2mm đảm bảo chiều dài ống khoảng 375 mm. Dùng khoan gia công 2 lỗ đường kính 5 mm xuyên qua tâm ống nhựa để tra dây quang. Lỗ thứ nhất cách đầu ống 82 mm, lỗ thứ 2 cách lỗ thứ nhất 248 mm. Dùng lưỡi cưa xẻ rãnh từ đầu ống nhựa đến lỗ khoan (cả 2 đầu). Sau đó dùng dũa làm sạch bavia trong và ngoài ống nhựa.</w:t>
            </w:r>
          </w:p>
          <w:p w14:paraId="01D3EFD6" w14:textId="77777777" w:rsidR="00D12867" w:rsidRPr="00F965AC" w:rsidRDefault="00D12867" w:rsidP="00D12867">
            <w:pPr>
              <w:spacing w:line="276" w:lineRule="auto"/>
              <w:ind w:right="57"/>
              <w:contextualSpacing/>
              <w:jc w:val="both"/>
              <w:rPr>
                <w:rFonts w:asciiTheme="majorHAnsi" w:hAnsiTheme="majorHAnsi" w:cstheme="majorHAnsi"/>
                <w:bCs/>
                <w:spacing w:val="-4"/>
                <w:sz w:val="26"/>
                <w:szCs w:val="26"/>
              </w:rPr>
            </w:pPr>
            <w:r w:rsidRPr="00F965AC">
              <w:rPr>
                <w:rFonts w:asciiTheme="majorHAnsi" w:hAnsiTheme="majorHAnsi" w:cstheme="majorHAnsi"/>
                <w:bCs/>
                <w:spacing w:val="-4"/>
                <w:sz w:val="26"/>
                <w:szCs w:val="26"/>
              </w:rPr>
              <w:t xml:space="preserve">Chuẩn bị ống nhựa được thể hiện tại hình 2: </w:t>
            </w:r>
          </w:p>
          <w:p w14:paraId="3AA49A3E" w14:textId="3646BEDB" w:rsidR="00D12867" w:rsidRPr="00F965AC" w:rsidRDefault="00D12867" w:rsidP="00D12867">
            <w:pPr>
              <w:spacing w:line="276" w:lineRule="auto"/>
              <w:ind w:right="57" w:firstLine="709"/>
              <w:contextualSpacing/>
              <w:jc w:val="both"/>
              <w:rPr>
                <w:rFonts w:asciiTheme="majorHAnsi" w:hAnsiTheme="majorHAnsi" w:cstheme="majorHAnsi"/>
                <w:bCs/>
                <w:spacing w:val="-4"/>
                <w:sz w:val="26"/>
                <w:szCs w:val="26"/>
              </w:rPr>
            </w:pPr>
            <w:r w:rsidRPr="00F965AC">
              <w:rPr>
                <w:rFonts w:asciiTheme="majorHAnsi" w:hAnsiTheme="majorHAnsi" w:cstheme="majorHAnsi"/>
                <w:noProof/>
                <w:spacing w:val="-4"/>
                <w:sz w:val="26"/>
                <w:szCs w:val="26"/>
              </w:rPr>
              <w:drawing>
                <wp:inline distT="0" distB="0" distL="0" distR="0" wp14:anchorId="19929F08" wp14:editId="69A69248">
                  <wp:extent cx="3823335" cy="1064260"/>
                  <wp:effectExtent l="0" t="0" r="5715" b="2540"/>
                  <wp:docPr id="5297379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3335" cy="1064260"/>
                          </a:xfrm>
                          <a:prstGeom prst="rect">
                            <a:avLst/>
                          </a:prstGeom>
                          <a:noFill/>
                          <a:ln>
                            <a:noFill/>
                          </a:ln>
                        </pic:spPr>
                      </pic:pic>
                    </a:graphicData>
                  </a:graphic>
                </wp:inline>
              </w:drawing>
            </w:r>
          </w:p>
          <w:p w14:paraId="57BE0A86" w14:textId="77777777" w:rsidR="00D12867" w:rsidRPr="00F965AC" w:rsidRDefault="00D12867" w:rsidP="00D12867">
            <w:pPr>
              <w:spacing w:line="276" w:lineRule="auto"/>
              <w:ind w:right="57"/>
              <w:contextualSpacing/>
              <w:jc w:val="center"/>
              <w:rPr>
                <w:rFonts w:asciiTheme="majorHAnsi" w:hAnsiTheme="majorHAnsi" w:cstheme="majorHAnsi"/>
                <w:b/>
                <w:spacing w:val="-4"/>
                <w:sz w:val="26"/>
                <w:szCs w:val="26"/>
              </w:rPr>
            </w:pPr>
            <w:r w:rsidRPr="00F965AC">
              <w:rPr>
                <w:rFonts w:asciiTheme="majorHAnsi" w:hAnsiTheme="majorHAnsi" w:cstheme="majorHAnsi"/>
                <w:b/>
                <w:spacing w:val="-4"/>
                <w:sz w:val="26"/>
                <w:szCs w:val="26"/>
              </w:rPr>
              <w:t>Hình 2 -</w:t>
            </w:r>
            <w:r w:rsidRPr="00F965AC">
              <w:rPr>
                <w:rFonts w:asciiTheme="majorHAnsi" w:hAnsiTheme="majorHAnsi" w:cstheme="majorHAnsi"/>
                <w:bCs/>
                <w:spacing w:val="-4"/>
                <w:sz w:val="26"/>
                <w:szCs w:val="26"/>
              </w:rPr>
              <w:t xml:space="preserve"> </w:t>
            </w:r>
            <w:r w:rsidRPr="00F965AC">
              <w:rPr>
                <w:rFonts w:asciiTheme="majorHAnsi" w:hAnsiTheme="majorHAnsi" w:cstheme="majorHAnsi"/>
                <w:b/>
                <w:spacing w:val="-4"/>
                <w:sz w:val="26"/>
                <w:szCs w:val="26"/>
              </w:rPr>
              <w:t>Chuẩn bị ống nhựa phục vụ xác định tốc độ nổ</w:t>
            </w:r>
          </w:p>
          <w:p w14:paraId="30A6AAE5" w14:textId="77777777" w:rsidR="00D12867" w:rsidRPr="00F965AC" w:rsidRDefault="00D12867" w:rsidP="00D12867">
            <w:pPr>
              <w:spacing w:line="276" w:lineRule="auto"/>
              <w:ind w:right="57"/>
              <w:contextualSpacing/>
              <w:jc w:val="both"/>
              <w:rPr>
                <w:rFonts w:asciiTheme="majorHAnsi" w:hAnsiTheme="majorHAnsi" w:cstheme="majorHAnsi"/>
                <w:bCs/>
                <w:sz w:val="26"/>
                <w:szCs w:val="26"/>
              </w:rPr>
            </w:pPr>
            <w:r w:rsidRPr="00F965AC">
              <w:rPr>
                <w:rFonts w:asciiTheme="majorHAnsi" w:hAnsiTheme="majorHAnsi" w:cstheme="majorHAnsi"/>
                <w:bCs/>
                <w:sz w:val="26"/>
                <w:szCs w:val="26"/>
              </w:rPr>
              <w:t>7.4.3.2. Nghiền mẫu thuốc nổ trong cối sứ, qua rây 20 lỗ/cm</w:t>
            </w:r>
            <w:r w:rsidRPr="00F965AC">
              <w:rPr>
                <w:rFonts w:asciiTheme="majorHAnsi" w:hAnsiTheme="majorHAnsi" w:cstheme="majorHAnsi"/>
                <w:bCs/>
                <w:sz w:val="26"/>
                <w:szCs w:val="26"/>
                <w:vertAlign w:val="superscript"/>
              </w:rPr>
              <w:t>2</w:t>
            </w:r>
            <w:r w:rsidRPr="00F965AC">
              <w:rPr>
                <w:rFonts w:asciiTheme="majorHAnsi" w:hAnsiTheme="majorHAnsi" w:cstheme="majorHAnsi"/>
                <w:bCs/>
                <w:sz w:val="26"/>
                <w:szCs w:val="26"/>
              </w:rPr>
              <w:t>, lấy thuốc nổ dưới sàng và tiến hành lần lượt ép trụ thuốc đạt mật độ khoảng 1,50 g/cm</w:t>
            </w:r>
            <w:r w:rsidRPr="00F965AC">
              <w:rPr>
                <w:rFonts w:asciiTheme="majorHAnsi" w:hAnsiTheme="majorHAnsi" w:cstheme="majorHAnsi"/>
                <w:bCs/>
                <w:sz w:val="26"/>
                <w:szCs w:val="26"/>
                <w:vertAlign w:val="superscript"/>
              </w:rPr>
              <w:t xml:space="preserve">3 </w:t>
            </w:r>
            <w:r w:rsidRPr="00F965AC">
              <w:rPr>
                <w:rFonts w:asciiTheme="majorHAnsi" w:hAnsiTheme="majorHAnsi" w:cstheme="majorHAnsi"/>
                <w:bCs/>
                <w:sz w:val="26"/>
                <w:szCs w:val="26"/>
              </w:rPr>
              <w:t>theo kích thước và số lượng như sau:</w:t>
            </w:r>
          </w:p>
          <w:p w14:paraId="04F6E278" w14:textId="77777777" w:rsidR="00D12867" w:rsidRPr="00F965AC" w:rsidRDefault="00D12867" w:rsidP="00D12867">
            <w:pPr>
              <w:spacing w:line="276" w:lineRule="auto"/>
              <w:ind w:right="57"/>
              <w:contextualSpacing/>
              <w:jc w:val="both"/>
              <w:rPr>
                <w:rFonts w:asciiTheme="majorHAnsi" w:hAnsiTheme="majorHAnsi" w:cstheme="majorHAnsi"/>
                <w:bCs/>
                <w:sz w:val="26"/>
                <w:szCs w:val="26"/>
              </w:rPr>
            </w:pPr>
            <w:r w:rsidRPr="00F965AC">
              <w:rPr>
                <w:rFonts w:asciiTheme="majorHAnsi" w:hAnsiTheme="majorHAnsi" w:cstheme="majorHAnsi"/>
                <w:bCs/>
                <w:sz w:val="26"/>
                <w:szCs w:val="26"/>
              </w:rPr>
              <w:t>Trụ số 1: Kích thước đường kính (30 x 62) mm có tạo lỗ tra kíp; Số lượng : 01 cái.</w:t>
            </w:r>
          </w:p>
          <w:p w14:paraId="0E5ACFD1" w14:textId="77777777" w:rsidR="00D12867" w:rsidRPr="00F965AC" w:rsidRDefault="00D12867" w:rsidP="00D12867">
            <w:pPr>
              <w:spacing w:line="276" w:lineRule="auto"/>
              <w:ind w:right="57"/>
              <w:contextualSpacing/>
              <w:jc w:val="both"/>
              <w:rPr>
                <w:rFonts w:asciiTheme="majorHAnsi" w:hAnsiTheme="majorHAnsi" w:cstheme="majorHAnsi"/>
                <w:bCs/>
                <w:sz w:val="26"/>
                <w:szCs w:val="26"/>
              </w:rPr>
            </w:pPr>
            <w:r w:rsidRPr="00F965AC">
              <w:rPr>
                <w:rFonts w:asciiTheme="majorHAnsi" w:hAnsiTheme="majorHAnsi" w:cstheme="majorHAnsi"/>
                <w:bCs/>
                <w:sz w:val="26"/>
                <w:szCs w:val="26"/>
              </w:rPr>
              <w:t>Trụ số 2: Kích thước Φ (30 x 62) mm; Số lượng : 04 cái.</w:t>
            </w:r>
          </w:p>
          <w:p w14:paraId="4CE33D92" w14:textId="77777777" w:rsidR="00D12867" w:rsidRPr="00F965AC" w:rsidRDefault="00D12867" w:rsidP="00D12867">
            <w:pPr>
              <w:spacing w:line="276" w:lineRule="auto"/>
              <w:ind w:right="57"/>
              <w:contextualSpacing/>
              <w:jc w:val="both"/>
              <w:rPr>
                <w:rFonts w:asciiTheme="majorHAnsi" w:hAnsiTheme="majorHAnsi" w:cstheme="majorHAnsi"/>
                <w:bCs/>
                <w:sz w:val="26"/>
                <w:szCs w:val="26"/>
              </w:rPr>
            </w:pPr>
            <w:r w:rsidRPr="00F965AC">
              <w:rPr>
                <w:rFonts w:asciiTheme="majorHAnsi" w:hAnsiTheme="majorHAnsi" w:cstheme="majorHAnsi"/>
                <w:bCs/>
                <w:sz w:val="26"/>
                <w:szCs w:val="26"/>
              </w:rPr>
              <w:lastRenderedPageBreak/>
              <w:t>Trụ số 3: Kích thước Φ (30 x 25) mm; Số lượng : 01 cái.</w:t>
            </w:r>
          </w:p>
          <w:p w14:paraId="44BDF02B" w14:textId="77777777" w:rsidR="00D12867" w:rsidRPr="00F965AC" w:rsidRDefault="00D12867" w:rsidP="00D12867">
            <w:pPr>
              <w:spacing w:line="276" w:lineRule="auto"/>
              <w:ind w:right="57"/>
              <w:contextualSpacing/>
              <w:jc w:val="both"/>
              <w:rPr>
                <w:rFonts w:asciiTheme="majorHAnsi" w:hAnsiTheme="majorHAnsi" w:cstheme="majorHAnsi"/>
                <w:bCs/>
                <w:sz w:val="26"/>
                <w:szCs w:val="26"/>
              </w:rPr>
            </w:pPr>
            <w:r w:rsidRPr="00F965AC">
              <w:rPr>
                <w:rFonts w:asciiTheme="majorHAnsi" w:hAnsiTheme="majorHAnsi" w:cstheme="majorHAnsi"/>
                <w:bCs/>
                <w:sz w:val="26"/>
                <w:szCs w:val="26"/>
              </w:rPr>
              <w:t>7.4.3.3. Đặt đứng trụ thuốc số 2; dùng lưỡi cưa bằng đồng cưa 1 rãnh ngang qua tâm các trụ thuốc chiều sâu của rãnh từ 1,0 mm đến 1,5 mm như hình 3.</w:t>
            </w:r>
          </w:p>
          <w:p w14:paraId="45B36B33" w14:textId="77777777" w:rsidR="00D12867" w:rsidRPr="00F965AC" w:rsidRDefault="00D12867" w:rsidP="00D12867">
            <w:pPr>
              <w:spacing w:line="276" w:lineRule="auto"/>
              <w:ind w:right="57" w:firstLine="709"/>
              <w:contextualSpacing/>
              <w:jc w:val="both"/>
              <w:rPr>
                <w:rFonts w:asciiTheme="majorHAnsi" w:hAnsiTheme="majorHAnsi" w:cstheme="majorHAnsi"/>
                <w:bCs/>
                <w:sz w:val="26"/>
                <w:szCs w:val="26"/>
              </w:rPr>
            </w:pPr>
          </w:p>
          <w:p w14:paraId="0F246B9B" w14:textId="1F5E0E31" w:rsidR="00D12867" w:rsidRPr="00F965AC" w:rsidRDefault="00D12867" w:rsidP="00D12867">
            <w:pPr>
              <w:spacing w:line="276" w:lineRule="auto"/>
              <w:ind w:right="57"/>
              <w:contextualSpacing/>
              <w:jc w:val="center"/>
              <w:rPr>
                <w:rFonts w:asciiTheme="majorHAnsi" w:hAnsiTheme="majorHAnsi" w:cstheme="majorHAnsi"/>
                <w:bCs/>
                <w:sz w:val="26"/>
                <w:szCs w:val="26"/>
              </w:rPr>
            </w:pPr>
            <w:r w:rsidRPr="00F965AC">
              <w:rPr>
                <w:rFonts w:asciiTheme="majorHAnsi" w:hAnsiTheme="majorHAnsi" w:cstheme="majorHAnsi"/>
                <w:noProof/>
                <w:sz w:val="26"/>
                <w:szCs w:val="26"/>
              </w:rPr>
              <w:drawing>
                <wp:inline distT="0" distB="0" distL="0" distR="0" wp14:anchorId="28EBC076" wp14:editId="6796CDB2">
                  <wp:extent cx="1098550" cy="1320800"/>
                  <wp:effectExtent l="0" t="0" r="6350" b="0"/>
                  <wp:docPr id="3753001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8550" cy="1320800"/>
                          </a:xfrm>
                          <a:prstGeom prst="rect">
                            <a:avLst/>
                          </a:prstGeom>
                          <a:noFill/>
                          <a:ln>
                            <a:noFill/>
                          </a:ln>
                        </pic:spPr>
                      </pic:pic>
                    </a:graphicData>
                  </a:graphic>
                </wp:inline>
              </w:drawing>
            </w:r>
          </w:p>
          <w:p w14:paraId="0340D841" w14:textId="77777777" w:rsidR="00D12867" w:rsidRPr="00F965AC" w:rsidRDefault="00D12867" w:rsidP="00D12867">
            <w:pPr>
              <w:spacing w:line="276" w:lineRule="auto"/>
              <w:ind w:right="57"/>
              <w:contextualSpacing/>
              <w:jc w:val="center"/>
              <w:rPr>
                <w:rFonts w:asciiTheme="majorHAnsi" w:hAnsiTheme="majorHAnsi" w:cstheme="majorHAnsi"/>
                <w:bCs/>
                <w:sz w:val="26"/>
                <w:szCs w:val="26"/>
              </w:rPr>
            </w:pPr>
            <w:r w:rsidRPr="00F965AC">
              <w:rPr>
                <w:rFonts w:asciiTheme="majorHAnsi" w:hAnsiTheme="majorHAnsi" w:cstheme="majorHAnsi"/>
                <w:b/>
                <w:sz w:val="26"/>
                <w:szCs w:val="26"/>
              </w:rPr>
              <w:t>Hình 3 - Chuẩn bị trụ thuốc nổ mẫu</w:t>
            </w:r>
          </w:p>
          <w:p w14:paraId="69B4D8E7" w14:textId="77777777" w:rsidR="00D12867" w:rsidRPr="00F965AC" w:rsidRDefault="00D12867" w:rsidP="00D12867">
            <w:pPr>
              <w:spacing w:line="276" w:lineRule="auto"/>
              <w:ind w:right="57"/>
              <w:contextualSpacing/>
              <w:jc w:val="both"/>
              <w:rPr>
                <w:rFonts w:asciiTheme="majorHAnsi" w:hAnsiTheme="majorHAnsi" w:cstheme="majorHAnsi"/>
                <w:bCs/>
                <w:spacing w:val="-2"/>
                <w:sz w:val="26"/>
                <w:szCs w:val="26"/>
              </w:rPr>
            </w:pPr>
            <w:r w:rsidRPr="00F965AC">
              <w:rPr>
                <w:rFonts w:asciiTheme="majorHAnsi" w:hAnsiTheme="majorHAnsi" w:cstheme="majorHAnsi"/>
                <w:bCs/>
                <w:spacing w:val="-2"/>
                <w:sz w:val="26"/>
                <w:szCs w:val="26"/>
              </w:rPr>
              <w:t>7.4.3.4. Đặt khối V bằng gỗ lên bàn công tác, lấy lần lượt từng cặp trụ thuốc (mỗi cặp 2 trụ) theo thứ tự: trụ số 1; trụ số 2; trụ số 3. Dùng tay ép lần lượt từng cặp trụ thuốc sao cho bề mặt của các trụ thuốc tiếp xúc chặt chẽ với nhau, lấy băng dính dán chặt từng cặp trụ thuốc theo đường kính để tạo thành một khối sau đó ghép 3 cặp lại với nhau nằm trên một mặt phẳng và thẳng hàng (dán khoảng 1,5 vòng băng dính sao cho cố định được trụ thuốc). Vị trí các trụ thuốc được thể hiện tại hình 4.</w:t>
            </w:r>
          </w:p>
          <w:p w14:paraId="59F204F6" w14:textId="38A67411" w:rsidR="00D12867" w:rsidRPr="00F965AC" w:rsidRDefault="00D12867" w:rsidP="00D12867">
            <w:pPr>
              <w:spacing w:line="276" w:lineRule="auto"/>
              <w:ind w:right="57"/>
              <w:contextualSpacing/>
              <w:jc w:val="center"/>
              <w:rPr>
                <w:rFonts w:asciiTheme="majorHAnsi" w:hAnsiTheme="majorHAnsi" w:cstheme="majorHAnsi"/>
                <w:bCs/>
                <w:spacing w:val="-2"/>
                <w:sz w:val="26"/>
                <w:szCs w:val="26"/>
              </w:rPr>
            </w:pPr>
            <w:r w:rsidRPr="00F965AC">
              <w:rPr>
                <w:rFonts w:asciiTheme="majorHAnsi" w:hAnsiTheme="majorHAnsi" w:cstheme="majorHAnsi"/>
                <w:noProof/>
                <w:sz w:val="26"/>
                <w:szCs w:val="26"/>
              </w:rPr>
              <w:lastRenderedPageBreak/>
              <w:drawing>
                <wp:inline distT="0" distB="0" distL="0" distR="0" wp14:anchorId="77433E70" wp14:editId="1BEB9B03">
                  <wp:extent cx="3823335" cy="968375"/>
                  <wp:effectExtent l="0" t="0" r="5715" b="3175"/>
                  <wp:docPr id="1336984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3335" cy="968375"/>
                          </a:xfrm>
                          <a:prstGeom prst="rect">
                            <a:avLst/>
                          </a:prstGeom>
                          <a:noFill/>
                          <a:ln>
                            <a:noFill/>
                          </a:ln>
                        </pic:spPr>
                      </pic:pic>
                    </a:graphicData>
                  </a:graphic>
                </wp:inline>
              </w:drawing>
            </w:r>
          </w:p>
          <w:p w14:paraId="34B5498E" w14:textId="77777777" w:rsidR="00D12867" w:rsidRPr="00F965AC" w:rsidRDefault="00D12867" w:rsidP="00D12867">
            <w:pPr>
              <w:spacing w:line="276" w:lineRule="auto"/>
              <w:ind w:right="57"/>
              <w:contextualSpacing/>
              <w:jc w:val="center"/>
              <w:rPr>
                <w:rFonts w:asciiTheme="majorHAnsi" w:hAnsiTheme="majorHAnsi" w:cstheme="majorHAnsi"/>
                <w:b/>
                <w:spacing w:val="-2"/>
                <w:sz w:val="26"/>
                <w:szCs w:val="26"/>
              </w:rPr>
            </w:pPr>
            <w:r w:rsidRPr="00F965AC">
              <w:rPr>
                <w:rFonts w:asciiTheme="majorHAnsi" w:hAnsiTheme="majorHAnsi" w:cstheme="majorHAnsi"/>
                <w:b/>
                <w:spacing w:val="-2"/>
                <w:sz w:val="26"/>
                <w:szCs w:val="26"/>
              </w:rPr>
              <w:t>Hình 4 -</w:t>
            </w:r>
            <w:r w:rsidRPr="00F965AC">
              <w:rPr>
                <w:rFonts w:asciiTheme="majorHAnsi" w:hAnsiTheme="majorHAnsi" w:cstheme="majorHAnsi"/>
                <w:bCs/>
                <w:spacing w:val="-2"/>
                <w:sz w:val="26"/>
                <w:szCs w:val="26"/>
              </w:rPr>
              <w:t xml:space="preserve"> </w:t>
            </w:r>
            <w:r w:rsidRPr="00F965AC">
              <w:rPr>
                <w:rFonts w:asciiTheme="majorHAnsi" w:hAnsiTheme="majorHAnsi" w:cstheme="majorHAnsi"/>
                <w:b/>
                <w:spacing w:val="-2"/>
                <w:sz w:val="26"/>
                <w:szCs w:val="26"/>
              </w:rPr>
              <w:t>Vị trí các trụ thuốc nổ trong khối thuốc nổ</w:t>
            </w:r>
          </w:p>
          <w:p w14:paraId="29D38D8D" w14:textId="062795FF" w:rsidR="00D12867" w:rsidRPr="00F965AC" w:rsidRDefault="00D12867" w:rsidP="00D12867">
            <w:pPr>
              <w:spacing w:line="276" w:lineRule="auto"/>
              <w:ind w:right="57"/>
              <w:contextualSpacing/>
              <w:jc w:val="both"/>
              <w:rPr>
                <w:rFonts w:asciiTheme="majorHAnsi" w:hAnsiTheme="majorHAnsi" w:cstheme="majorHAnsi"/>
                <w:bCs/>
                <w:spacing w:val="-2"/>
                <w:sz w:val="26"/>
                <w:szCs w:val="26"/>
              </w:rPr>
            </w:pPr>
            <w:r w:rsidRPr="00F965AC">
              <w:rPr>
                <w:rFonts w:asciiTheme="majorHAnsi" w:hAnsiTheme="majorHAnsi" w:cstheme="majorHAnsi"/>
                <w:bCs/>
                <w:spacing w:val="-2"/>
                <w:sz w:val="26"/>
                <w:szCs w:val="26"/>
              </w:rPr>
              <w:t>7.4.3.5. Dùi lỗ xuyên qua lớp băng dính theo rãnh có sẵn của trụ thuốc số 2 (vị trí số 4 và vị trí số 8 tại hình 4), xuyên 2 đoạn dây đồng cách điện qua 2 lỗ vuông góc với đường sinh khối thuốc, kéo thẳng đoạn dây vòng qua chu vi của khối thuốc xoắn chặt 2 đầu (2 đoạn dây riêng biệt, chiều dài mỗi đoạn 300 mm), bẻ gập 2 đoạn dây về 2 phía đầu và cuối của mẫu thử. Yêu cầu hai vòng dây phải song song và vuông góc với đường sinh của khối thuốc, phần thừa ra của 2 đoạn dây phải nằm cùng 1 phía và thẳng hàng. Dùng thước cặp đo khoảng cách giữa 2 vòng dây (L).</w:t>
            </w:r>
          </w:p>
          <w:p w14:paraId="33EA2035" w14:textId="77777777" w:rsidR="00D12867" w:rsidRPr="00F965AC" w:rsidRDefault="00D12867" w:rsidP="00D12867">
            <w:pPr>
              <w:spacing w:line="276" w:lineRule="auto"/>
              <w:ind w:right="57"/>
              <w:contextualSpacing/>
              <w:jc w:val="both"/>
              <w:rPr>
                <w:rFonts w:asciiTheme="majorHAnsi" w:hAnsiTheme="majorHAnsi" w:cstheme="majorHAnsi"/>
                <w:bCs/>
                <w:spacing w:val="-2"/>
                <w:sz w:val="26"/>
                <w:szCs w:val="26"/>
              </w:rPr>
            </w:pPr>
            <w:r w:rsidRPr="00F965AC">
              <w:rPr>
                <w:rFonts w:asciiTheme="majorHAnsi" w:hAnsiTheme="majorHAnsi" w:cstheme="majorHAnsi"/>
                <w:bCs/>
                <w:spacing w:val="-2"/>
                <w:sz w:val="26"/>
                <w:szCs w:val="26"/>
              </w:rPr>
              <w:t>7.4.3.6. Đặt khối thuốc lên bàn sao cho phần thừa dây đồng nằm ở phía trên, nhẹ nhàng đưa khối thuốc vào ống nhựa, dùng panh kẹp rút đầu dây đồng theo đường rãnh đến lỗ Φ 5 mm ở hai đầu mẫu thử ra ngoài ống nhựa.</w:t>
            </w:r>
          </w:p>
          <w:p w14:paraId="37E25DC2" w14:textId="77777777" w:rsidR="00D12867" w:rsidRPr="00F965AC" w:rsidRDefault="00D12867" w:rsidP="00D12867">
            <w:pPr>
              <w:spacing w:line="276" w:lineRule="auto"/>
              <w:ind w:right="57"/>
              <w:contextualSpacing/>
              <w:jc w:val="both"/>
              <w:rPr>
                <w:rFonts w:asciiTheme="majorHAnsi" w:hAnsiTheme="majorHAnsi" w:cstheme="majorHAnsi"/>
                <w:bCs/>
                <w:spacing w:val="-2"/>
                <w:sz w:val="26"/>
                <w:szCs w:val="26"/>
              </w:rPr>
            </w:pPr>
            <w:r w:rsidRPr="00F965AC">
              <w:rPr>
                <w:rFonts w:asciiTheme="majorHAnsi" w:hAnsiTheme="majorHAnsi" w:cstheme="majorHAnsi"/>
                <w:bCs/>
                <w:spacing w:val="-2"/>
                <w:sz w:val="26"/>
                <w:szCs w:val="26"/>
              </w:rPr>
              <w:t>7.4.3.7. Dùng nắp nhựa lắp kín hai đầu ống nhựa (lưu ý không chèn vào lỗ cắm kíp).</w:t>
            </w:r>
          </w:p>
          <w:p w14:paraId="0233A06A" w14:textId="77777777" w:rsidR="00D12867" w:rsidRPr="00F965AC" w:rsidRDefault="00D12867" w:rsidP="00D12867">
            <w:pPr>
              <w:spacing w:before="120" w:after="120"/>
              <w:jc w:val="both"/>
              <w:rPr>
                <w:rFonts w:asciiTheme="majorHAnsi" w:eastAsia="Calibri" w:hAnsiTheme="majorHAnsi" w:cstheme="majorHAnsi"/>
                <w:bCs/>
                <w:sz w:val="26"/>
                <w:szCs w:val="26"/>
                <w:lang w:eastAsia="ja-JP"/>
              </w:rPr>
            </w:pPr>
            <w:r w:rsidRPr="00F965AC">
              <w:rPr>
                <w:rFonts w:asciiTheme="majorHAnsi" w:hAnsiTheme="majorHAnsi" w:cstheme="majorHAnsi"/>
                <w:sz w:val="26"/>
                <w:szCs w:val="26"/>
              </w:rPr>
              <w:lastRenderedPageBreak/>
              <w:t>7.4.4. Rải cát để tạo mặt phẳng</w:t>
            </w:r>
            <w:r w:rsidRPr="00F965AC">
              <w:rPr>
                <w:rFonts w:asciiTheme="majorHAnsi" w:eastAsia="Calibri" w:hAnsiTheme="majorHAnsi" w:cstheme="majorHAnsi"/>
                <w:bCs/>
                <w:sz w:val="26"/>
                <w:szCs w:val="26"/>
                <w:lang w:eastAsia="ja-JP"/>
              </w:rPr>
              <w:t>.</w:t>
            </w:r>
          </w:p>
          <w:p w14:paraId="119DBA2F" w14:textId="77777777" w:rsidR="00D12867" w:rsidRPr="00F965AC" w:rsidRDefault="00D12867" w:rsidP="00D12867">
            <w:pPr>
              <w:spacing w:before="120" w:after="120"/>
              <w:jc w:val="both"/>
              <w:rPr>
                <w:rFonts w:asciiTheme="majorHAnsi" w:hAnsiTheme="majorHAnsi" w:cstheme="majorHAnsi"/>
                <w:sz w:val="26"/>
                <w:szCs w:val="26"/>
              </w:rPr>
            </w:pPr>
            <w:r w:rsidRPr="00F965AC">
              <w:rPr>
                <w:rFonts w:asciiTheme="majorHAnsi" w:hAnsiTheme="majorHAnsi" w:cstheme="majorHAnsi"/>
                <w:sz w:val="26"/>
                <w:szCs w:val="26"/>
              </w:rPr>
              <w:t>7.4.4.1 Tra kíp điện số 8 vào lỗ đã tạo trên thỏi thuốc.</w:t>
            </w:r>
          </w:p>
          <w:p w14:paraId="6AFC4EFA" w14:textId="77777777" w:rsidR="00D12867" w:rsidRPr="00F965AC" w:rsidRDefault="00D12867" w:rsidP="00D12867">
            <w:pPr>
              <w:spacing w:before="120" w:after="120"/>
              <w:jc w:val="both"/>
              <w:rPr>
                <w:rFonts w:asciiTheme="majorHAnsi" w:hAnsiTheme="majorHAnsi" w:cstheme="majorHAnsi"/>
                <w:sz w:val="26"/>
                <w:szCs w:val="26"/>
              </w:rPr>
            </w:pPr>
            <w:r w:rsidRPr="00F965AC">
              <w:rPr>
                <w:rFonts w:asciiTheme="majorHAnsi" w:hAnsiTheme="majorHAnsi" w:cstheme="majorHAnsi"/>
                <w:sz w:val="26"/>
                <w:szCs w:val="26"/>
              </w:rPr>
              <w:t>7.4.4.2. Nhập số liệu khoảng cách giữa hai dây Start và Stop trên máy đo. Kiểm tra sự sẵn sàng của máy đo (sẵn sàng ghi lại các dữ liệu của quá trình nổ).</w:t>
            </w:r>
          </w:p>
          <w:p w14:paraId="6C6EBC9C" w14:textId="77777777" w:rsidR="00D12867" w:rsidRPr="00F965AC" w:rsidRDefault="00D12867" w:rsidP="00D12867">
            <w:pPr>
              <w:spacing w:before="120" w:after="120"/>
              <w:jc w:val="both"/>
              <w:rPr>
                <w:rFonts w:asciiTheme="majorHAnsi" w:hAnsiTheme="majorHAnsi" w:cstheme="majorHAnsi"/>
                <w:sz w:val="26"/>
                <w:szCs w:val="26"/>
              </w:rPr>
            </w:pPr>
            <w:r w:rsidRPr="00F965AC">
              <w:rPr>
                <w:rFonts w:asciiTheme="majorHAnsi" w:hAnsiTheme="majorHAnsi" w:cstheme="majorHAnsi"/>
                <w:sz w:val="26"/>
                <w:szCs w:val="26"/>
              </w:rPr>
              <w:t>7.4.4.3. Tiến hành kích nổ thỏi thuốc, máy đo sẽ bắt đầu thu nhận thông tin về tốc độ nổ. Kết quả đo được thể hiện trên máy đo bằng phần mềm đi kèm.</w:t>
            </w:r>
          </w:p>
          <w:p w14:paraId="6F46AD2C" w14:textId="77777777" w:rsidR="00D12867" w:rsidRPr="00F965AC" w:rsidRDefault="00D12867" w:rsidP="00D12867">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Thí nghiệm được tiến hành tối thiểu 03 lần, sai số giữa các kết quả đo không được lớn hơn ± 200 m/s. Kết quả là giá trị trung bình của các phép thử, làm tròn đến số nguyên.</w:t>
            </w:r>
          </w:p>
          <w:p w14:paraId="056E5E9C" w14:textId="77777777" w:rsidR="00D12867" w:rsidRPr="00F965AC" w:rsidRDefault="00D12867" w:rsidP="00D12867">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 xml:space="preserve">Mẫu thử đạt yêu cầu về tốc độ nổ khi đáp ứng quy định nêu tại Điều 5 của Quy chuẩn kỹ thuật này. </w:t>
            </w:r>
          </w:p>
          <w:p w14:paraId="76303041" w14:textId="77777777" w:rsidR="00D12867" w:rsidRPr="00F965AC" w:rsidRDefault="00D12867" w:rsidP="00D12867">
            <w:pPr>
              <w:widowControl w:val="0"/>
              <w:spacing w:before="60" w:after="60"/>
              <w:jc w:val="both"/>
              <w:rPr>
                <w:rFonts w:asciiTheme="majorHAnsi" w:eastAsia="Calibri" w:hAnsiTheme="majorHAnsi" w:cstheme="majorHAnsi"/>
                <w:bCs/>
                <w:sz w:val="26"/>
                <w:szCs w:val="26"/>
                <w:lang w:eastAsia="ja-JP"/>
              </w:rPr>
            </w:pPr>
            <w:r w:rsidRPr="00F965AC">
              <w:rPr>
                <w:rFonts w:asciiTheme="majorHAnsi" w:eastAsia="Calibri" w:hAnsiTheme="majorHAnsi" w:cstheme="majorHAnsi"/>
                <w:bCs/>
                <w:sz w:val="26"/>
                <w:szCs w:val="26"/>
                <w:lang w:eastAsia="ja-JP"/>
              </w:rPr>
              <w:t>Chuẩn bị mẫu và cách đấu dây với mẫu t</w:t>
            </w:r>
            <w:r w:rsidRPr="00F965AC">
              <w:rPr>
                <w:rFonts w:asciiTheme="majorHAnsi" w:hAnsiTheme="majorHAnsi" w:cstheme="majorHAnsi"/>
                <w:sz w:val="26"/>
                <w:szCs w:val="26"/>
              </w:rPr>
              <w:t>huốc nổ hỗn hợp của các loại thuốc nổ mạnh đơn chất</w:t>
            </w:r>
            <w:r w:rsidRPr="00F965AC">
              <w:rPr>
                <w:rFonts w:asciiTheme="majorHAnsi" w:eastAsia="Calibri" w:hAnsiTheme="majorHAnsi" w:cstheme="majorHAnsi"/>
                <w:bCs/>
                <w:sz w:val="26"/>
                <w:szCs w:val="26"/>
                <w:lang w:eastAsia="ja-JP"/>
              </w:rPr>
              <w:t xml:space="preserve"> được thể hiện tại Hình 5.</w:t>
            </w:r>
          </w:p>
          <w:p w14:paraId="31B8268C" w14:textId="28C51C08" w:rsidR="00D12867" w:rsidRPr="00F965AC" w:rsidRDefault="00D12867" w:rsidP="00D12867">
            <w:pPr>
              <w:widowControl w:val="0"/>
              <w:spacing w:before="60" w:after="60"/>
              <w:ind w:firstLine="709"/>
              <w:jc w:val="both"/>
              <w:rPr>
                <w:rFonts w:asciiTheme="majorHAnsi" w:eastAsia="Calibri" w:hAnsiTheme="majorHAnsi" w:cstheme="majorHAnsi"/>
                <w:bCs/>
                <w:sz w:val="26"/>
                <w:szCs w:val="26"/>
                <w:lang w:eastAsia="ja-JP"/>
              </w:rPr>
            </w:pPr>
            <w:r w:rsidRPr="00F965AC">
              <w:rPr>
                <w:rFonts w:asciiTheme="majorHAnsi" w:hAnsiTheme="majorHAnsi" w:cstheme="majorHAnsi"/>
                <w:noProof/>
                <w:sz w:val="26"/>
                <w:szCs w:val="26"/>
              </w:rPr>
              <w:drawing>
                <wp:anchor distT="0" distB="0" distL="114300" distR="114300" simplePos="0" relativeHeight="251669504" behindDoc="0" locked="0" layoutInCell="1" allowOverlap="1" wp14:anchorId="716DBA57" wp14:editId="6B2F06DF">
                  <wp:simplePos x="0" y="0"/>
                  <wp:positionH relativeFrom="column">
                    <wp:posOffset>-18415</wp:posOffset>
                  </wp:positionH>
                  <wp:positionV relativeFrom="paragraph">
                    <wp:posOffset>15240</wp:posOffset>
                  </wp:positionV>
                  <wp:extent cx="3823335" cy="1595755"/>
                  <wp:effectExtent l="0" t="0" r="0" b="4445"/>
                  <wp:wrapNone/>
                  <wp:docPr id="11264663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3335" cy="1595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ABA94C" w14:textId="77777777" w:rsidR="00D12867" w:rsidRPr="00F965AC" w:rsidRDefault="00D12867" w:rsidP="00D12867">
            <w:pPr>
              <w:widowControl w:val="0"/>
              <w:spacing w:before="60" w:after="60"/>
              <w:jc w:val="center"/>
              <w:rPr>
                <w:rFonts w:asciiTheme="majorHAnsi" w:hAnsiTheme="majorHAnsi" w:cstheme="majorHAnsi"/>
                <w:sz w:val="26"/>
                <w:szCs w:val="26"/>
              </w:rPr>
            </w:pPr>
          </w:p>
          <w:p w14:paraId="548A7351" w14:textId="77777777" w:rsidR="00D12867" w:rsidRPr="00F965AC" w:rsidRDefault="00D12867" w:rsidP="00D12867">
            <w:pPr>
              <w:widowControl w:val="0"/>
              <w:spacing w:before="60" w:after="60"/>
              <w:jc w:val="center"/>
              <w:rPr>
                <w:rFonts w:asciiTheme="majorHAnsi" w:hAnsiTheme="majorHAnsi" w:cstheme="majorHAnsi"/>
                <w:sz w:val="26"/>
                <w:szCs w:val="26"/>
              </w:rPr>
            </w:pPr>
          </w:p>
          <w:p w14:paraId="5E76D8CB" w14:textId="77777777" w:rsidR="00D12867" w:rsidRPr="00F965AC" w:rsidRDefault="00D12867" w:rsidP="00D12867">
            <w:pPr>
              <w:widowControl w:val="0"/>
              <w:spacing w:before="60" w:after="60"/>
              <w:jc w:val="center"/>
              <w:rPr>
                <w:rFonts w:asciiTheme="majorHAnsi" w:hAnsiTheme="majorHAnsi" w:cstheme="majorHAnsi"/>
                <w:sz w:val="26"/>
                <w:szCs w:val="26"/>
              </w:rPr>
            </w:pPr>
          </w:p>
          <w:p w14:paraId="1067DE68" w14:textId="77777777" w:rsidR="00D12867" w:rsidRPr="00F965AC" w:rsidRDefault="00D12867" w:rsidP="00D12867">
            <w:pPr>
              <w:widowControl w:val="0"/>
              <w:spacing w:before="60" w:after="60"/>
              <w:jc w:val="center"/>
              <w:rPr>
                <w:rFonts w:asciiTheme="majorHAnsi" w:hAnsiTheme="majorHAnsi" w:cstheme="majorHAnsi"/>
                <w:sz w:val="26"/>
                <w:szCs w:val="26"/>
              </w:rPr>
            </w:pPr>
          </w:p>
          <w:p w14:paraId="7BCBFC84" w14:textId="77777777" w:rsidR="00D12867" w:rsidRPr="00F965AC" w:rsidRDefault="00D12867" w:rsidP="00D12867">
            <w:pPr>
              <w:widowControl w:val="0"/>
              <w:spacing w:before="60" w:after="60"/>
              <w:jc w:val="center"/>
              <w:rPr>
                <w:rFonts w:asciiTheme="majorHAnsi" w:hAnsiTheme="majorHAnsi" w:cstheme="majorHAnsi"/>
                <w:sz w:val="26"/>
                <w:szCs w:val="26"/>
              </w:rPr>
            </w:pPr>
          </w:p>
          <w:p w14:paraId="5BA351C2" w14:textId="77777777" w:rsidR="00D12867" w:rsidRPr="00F965AC" w:rsidRDefault="00D12867" w:rsidP="00D12867">
            <w:pPr>
              <w:widowControl w:val="0"/>
              <w:spacing w:before="60" w:after="60"/>
              <w:jc w:val="center"/>
              <w:rPr>
                <w:rFonts w:asciiTheme="majorHAnsi" w:hAnsiTheme="majorHAnsi" w:cstheme="majorHAnsi"/>
                <w:sz w:val="26"/>
                <w:szCs w:val="26"/>
              </w:rPr>
            </w:pPr>
          </w:p>
          <w:p w14:paraId="2384586B" w14:textId="77777777" w:rsidR="00D12867" w:rsidRPr="00F965AC" w:rsidRDefault="00D12867" w:rsidP="00D12867">
            <w:pPr>
              <w:widowControl w:val="0"/>
              <w:spacing w:before="60" w:after="60"/>
              <w:jc w:val="center"/>
              <w:rPr>
                <w:rFonts w:asciiTheme="majorHAnsi" w:hAnsiTheme="majorHAnsi" w:cstheme="majorHAnsi"/>
                <w:sz w:val="26"/>
                <w:szCs w:val="26"/>
              </w:rPr>
            </w:pPr>
          </w:p>
          <w:p w14:paraId="2740CBA7" w14:textId="77777777" w:rsidR="00D12867" w:rsidRPr="00F965AC" w:rsidRDefault="00D12867" w:rsidP="00D12867">
            <w:pPr>
              <w:widowControl w:val="0"/>
              <w:spacing w:before="60" w:after="60"/>
              <w:jc w:val="center"/>
              <w:rPr>
                <w:rFonts w:asciiTheme="majorHAnsi" w:hAnsiTheme="majorHAnsi" w:cstheme="majorHAnsi"/>
                <w:sz w:val="26"/>
                <w:szCs w:val="26"/>
              </w:rPr>
            </w:pPr>
            <w:r w:rsidRPr="00F965AC">
              <w:rPr>
                <w:rFonts w:asciiTheme="majorHAnsi" w:hAnsiTheme="majorHAnsi" w:cstheme="majorHAnsi"/>
                <w:sz w:val="26"/>
                <w:szCs w:val="26"/>
              </w:rPr>
              <w:t>1. Dây quang</w:t>
            </w:r>
            <w:r w:rsidRPr="00F965AC">
              <w:rPr>
                <w:rFonts w:asciiTheme="majorHAnsi" w:hAnsiTheme="majorHAnsi" w:cstheme="majorHAnsi"/>
                <w:sz w:val="26"/>
                <w:szCs w:val="26"/>
              </w:rPr>
              <w:tab/>
              <w:t xml:space="preserve">     2. Kíp nổ điện số 8</w:t>
            </w:r>
            <w:r w:rsidRPr="00F965AC">
              <w:rPr>
                <w:rFonts w:asciiTheme="majorHAnsi" w:hAnsiTheme="majorHAnsi" w:cstheme="majorHAnsi"/>
                <w:sz w:val="26"/>
                <w:szCs w:val="26"/>
              </w:rPr>
              <w:tab/>
              <w:t>3. Thuốc nổ hỗn hợp của các loại thuốc nổ mạnh đơn chất</w:t>
            </w:r>
          </w:p>
          <w:p w14:paraId="7B6BDD5F" w14:textId="0BBCEEB6" w:rsidR="00D12867" w:rsidRPr="00F965AC" w:rsidRDefault="00D12867" w:rsidP="00D12867">
            <w:pPr>
              <w:widowControl w:val="0"/>
              <w:spacing w:before="60" w:after="60"/>
              <w:ind w:firstLine="709"/>
              <w:jc w:val="center"/>
              <w:rPr>
                <w:rFonts w:asciiTheme="majorHAnsi" w:hAnsiTheme="majorHAnsi" w:cstheme="majorHAnsi"/>
                <w:b/>
                <w:bCs/>
                <w:iCs/>
                <w:spacing w:val="-6"/>
                <w:sz w:val="26"/>
                <w:szCs w:val="26"/>
                <w:lang w:val="en-US"/>
              </w:rPr>
            </w:pPr>
            <w:r w:rsidRPr="00F965AC">
              <w:rPr>
                <w:rFonts w:asciiTheme="majorHAnsi" w:hAnsiTheme="majorHAnsi" w:cstheme="majorHAnsi"/>
                <w:b/>
                <w:bCs/>
                <w:iCs/>
                <w:spacing w:val="-6"/>
                <w:sz w:val="26"/>
                <w:szCs w:val="26"/>
              </w:rPr>
              <w:t xml:space="preserve">Hình 5 - Sơ đồ chuẩn bị mẫu và cách đấu dây với mẫu thuốc </w:t>
            </w:r>
            <w:r w:rsidRPr="00F965AC">
              <w:rPr>
                <w:rFonts w:asciiTheme="majorHAnsi" w:hAnsiTheme="majorHAnsi" w:cstheme="majorHAnsi"/>
                <w:b/>
                <w:bCs/>
                <w:sz w:val="26"/>
                <w:szCs w:val="26"/>
              </w:rPr>
              <w:t>hỗn hợp của các loại thuốc nổ mạnh đơn chất</w:t>
            </w:r>
          </w:p>
        </w:tc>
        <w:tc>
          <w:tcPr>
            <w:tcW w:w="5245" w:type="dxa"/>
          </w:tcPr>
          <w:p w14:paraId="74186E42" w14:textId="7B5E2BBC" w:rsidR="00D12867" w:rsidRPr="00F965AC" w:rsidRDefault="00D12867" w:rsidP="00D12867">
            <w:pPr>
              <w:snapToGrid w:val="0"/>
              <w:jc w:val="both"/>
              <w:rPr>
                <w:rFonts w:asciiTheme="majorHAnsi" w:hAnsiTheme="majorHAnsi" w:cstheme="majorHAnsi"/>
                <w:bCs/>
                <w:color w:val="000000"/>
                <w:sz w:val="26"/>
                <w:szCs w:val="26"/>
                <w:lang w:val="en-US"/>
              </w:rPr>
            </w:pPr>
            <w:r w:rsidRPr="003062F0">
              <w:rPr>
                <w:rFonts w:asciiTheme="majorHAnsi" w:hAnsiTheme="majorHAnsi" w:cstheme="majorHAnsi"/>
                <w:bCs/>
                <w:color w:val="EE0000"/>
                <w:sz w:val="26"/>
                <w:szCs w:val="26"/>
                <w:lang w:val="en-US"/>
              </w:rPr>
              <w:lastRenderedPageBreak/>
              <w:t xml:space="preserve">QCVN 12-12:2022/BCT </w:t>
            </w:r>
            <w:r>
              <w:rPr>
                <w:rFonts w:asciiTheme="majorHAnsi" w:hAnsiTheme="majorHAnsi" w:cstheme="majorHAnsi"/>
                <w:bCs/>
                <w:color w:val="EE0000"/>
                <w:sz w:val="26"/>
                <w:szCs w:val="26"/>
                <w:lang w:val="en-US"/>
              </w:rPr>
              <w:t xml:space="preserve">quy định </w:t>
            </w:r>
            <w:r w:rsidRPr="003062F0">
              <w:rPr>
                <w:rFonts w:asciiTheme="majorHAnsi" w:hAnsiTheme="majorHAnsi" w:cstheme="majorHAnsi"/>
                <w:bCs/>
                <w:color w:val="EE0000"/>
                <w:sz w:val="26"/>
                <w:szCs w:val="26"/>
                <w:lang w:val="en-US"/>
              </w:rPr>
              <w:t>x</w:t>
            </w:r>
            <w:r w:rsidRPr="003062F0">
              <w:rPr>
                <w:rFonts w:asciiTheme="majorHAnsi" w:hAnsiTheme="majorHAnsi" w:cstheme="majorHAnsi"/>
                <w:color w:val="EE0000"/>
                <w:sz w:val="26"/>
                <w:szCs w:val="26"/>
              </w:rPr>
              <w:t xml:space="preserve">ác định </w:t>
            </w:r>
            <w:r w:rsidRPr="003062F0">
              <w:rPr>
                <w:rFonts w:asciiTheme="majorHAnsi" w:hAnsiTheme="majorHAnsi" w:cstheme="majorHAnsi"/>
                <w:color w:val="EE0000"/>
                <w:sz w:val="26"/>
                <w:szCs w:val="26"/>
                <w:lang w:val="en-US"/>
              </w:rPr>
              <w:t>tốc độ nổ</w:t>
            </w:r>
            <w:r w:rsidRPr="003062F0">
              <w:rPr>
                <w:rFonts w:asciiTheme="majorHAnsi" w:hAnsiTheme="majorHAnsi" w:cstheme="majorHAnsi"/>
                <w:bCs/>
                <w:color w:val="EE0000"/>
                <w:sz w:val="26"/>
                <w:szCs w:val="26"/>
                <w:lang w:val="en-US"/>
              </w:rPr>
              <w:t xml:space="preserve"> </w:t>
            </w:r>
            <w:r>
              <w:rPr>
                <w:rFonts w:asciiTheme="majorHAnsi" w:hAnsiTheme="majorHAnsi" w:cstheme="majorHAnsi"/>
                <w:bCs/>
                <w:color w:val="EE0000"/>
                <w:sz w:val="26"/>
                <w:szCs w:val="26"/>
                <w:lang w:val="en-US"/>
              </w:rPr>
              <w:t xml:space="preserve">tại mật độ 1,6 </w:t>
            </w:r>
            <w:r w:rsidRPr="00F965AC">
              <w:rPr>
                <w:rFonts w:asciiTheme="majorHAnsi" w:hAnsiTheme="majorHAnsi" w:cstheme="majorHAnsi"/>
                <w:sz w:val="26"/>
                <w:szCs w:val="26"/>
              </w:rPr>
              <w:t>g/cm</w:t>
            </w:r>
            <w:r w:rsidRPr="00F965AC">
              <w:rPr>
                <w:rFonts w:asciiTheme="majorHAnsi" w:hAnsiTheme="majorHAnsi" w:cstheme="majorHAnsi"/>
                <w:sz w:val="26"/>
                <w:szCs w:val="26"/>
                <w:vertAlign w:val="superscript"/>
              </w:rPr>
              <w:t>3</w:t>
            </w:r>
            <w:r>
              <w:rPr>
                <w:rFonts w:asciiTheme="majorHAnsi" w:hAnsiTheme="majorHAnsi" w:cstheme="majorHAnsi"/>
                <w:sz w:val="26"/>
                <w:szCs w:val="26"/>
                <w:vertAlign w:val="superscript"/>
                <w:lang w:val="en-US"/>
              </w:rPr>
              <w:t xml:space="preserve"> </w:t>
            </w:r>
            <w:r w:rsidRPr="003062F0">
              <w:rPr>
                <w:rFonts w:asciiTheme="majorHAnsi" w:hAnsiTheme="majorHAnsi" w:cstheme="majorHAnsi"/>
                <w:bCs/>
                <w:color w:val="EE0000"/>
                <w:sz w:val="26"/>
                <w:szCs w:val="26"/>
                <w:lang w:val="en-US"/>
              </w:rPr>
              <w:t xml:space="preserve">và trong quá trình thực hiện </w:t>
            </w:r>
            <w:r>
              <w:rPr>
                <w:rFonts w:asciiTheme="majorHAnsi" w:hAnsiTheme="majorHAnsi" w:cstheme="majorHAnsi"/>
                <w:bCs/>
                <w:color w:val="EE0000"/>
                <w:sz w:val="26"/>
                <w:szCs w:val="26"/>
                <w:lang w:val="en-US"/>
              </w:rPr>
              <w:t xml:space="preserve">tại các đơn vị thử nghiệm, phương pháp này có thể áp dụng đối với mật độ nạp 1,5 </w:t>
            </w:r>
            <w:r w:rsidRPr="00F965AC">
              <w:rPr>
                <w:rFonts w:asciiTheme="majorHAnsi" w:hAnsiTheme="majorHAnsi" w:cstheme="majorHAnsi"/>
                <w:sz w:val="26"/>
                <w:szCs w:val="26"/>
              </w:rPr>
              <w:t>g/cm</w:t>
            </w:r>
            <w:r w:rsidRPr="00F965AC">
              <w:rPr>
                <w:rFonts w:asciiTheme="majorHAnsi" w:hAnsiTheme="majorHAnsi" w:cstheme="majorHAnsi"/>
                <w:sz w:val="26"/>
                <w:szCs w:val="26"/>
                <w:vertAlign w:val="superscript"/>
              </w:rPr>
              <w:t>3</w:t>
            </w:r>
            <w:r>
              <w:rPr>
                <w:rFonts w:asciiTheme="majorHAnsi" w:hAnsiTheme="majorHAnsi" w:cstheme="majorHAnsi"/>
                <w:sz w:val="26"/>
                <w:szCs w:val="26"/>
                <w:vertAlign w:val="superscript"/>
                <w:lang w:val="en-US"/>
              </w:rPr>
              <w:t xml:space="preserve"> </w:t>
            </w:r>
            <w:r w:rsidRPr="003062F0">
              <w:rPr>
                <w:rFonts w:asciiTheme="majorHAnsi" w:hAnsiTheme="majorHAnsi" w:cstheme="majorHAnsi"/>
                <w:bCs/>
                <w:color w:val="EE0000"/>
                <w:sz w:val="26"/>
                <w:szCs w:val="26"/>
                <w:lang w:val="en-US"/>
              </w:rPr>
              <w:t>đảm bảo</w:t>
            </w:r>
            <w:r>
              <w:rPr>
                <w:rFonts w:asciiTheme="majorHAnsi" w:hAnsiTheme="majorHAnsi" w:cstheme="majorHAnsi"/>
                <w:bCs/>
                <w:color w:val="EE0000"/>
                <w:sz w:val="26"/>
                <w:szCs w:val="26"/>
                <w:lang w:val="en-US"/>
              </w:rPr>
              <w:t xml:space="preserve"> an toàn trong quá trình thử nghiệm</w:t>
            </w:r>
            <w:r w:rsidRPr="003062F0">
              <w:rPr>
                <w:rFonts w:asciiTheme="majorHAnsi" w:hAnsiTheme="majorHAnsi" w:cstheme="majorHAnsi"/>
                <w:bCs/>
                <w:color w:val="EE0000"/>
                <w:sz w:val="26"/>
                <w:szCs w:val="26"/>
                <w:lang w:val="en-US"/>
              </w:rPr>
              <w:t xml:space="preserve"> theo quy định. Theo đó, dự thảo QCVN kế thừa phương pháp thử x</w:t>
            </w:r>
            <w:r w:rsidRPr="003062F0">
              <w:rPr>
                <w:rFonts w:asciiTheme="majorHAnsi" w:hAnsiTheme="majorHAnsi" w:cstheme="majorHAnsi"/>
                <w:color w:val="EE0000"/>
                <w:sz w:val="26"/>
                <w:szCs w:val="26"/>
              </w:rPr>
              <w:t xml:space="preserve">ác định </w:t>
            </w:r>
            <w:r w:rsidRPr="003062F0">
              <w:rPr>
                <w:rFonts w:asciiTheme="majorHAnsi" w:hAnsiTheme="majorHAnsi" w:cstheme="majorHAnsi"/>
                <w:color w:val="EE0000"/>
                <w:sz w:val="26"/>
                <w:szCs w:val="26"/>
                <w:lang w:val="en-US"/>
              </w:rPr>
              <w:t>tốc độ nổ</w:t>
            </w:r>
            <w:r w:rsidRPr="003062F0">
              <w:rPr>
                <w:rFonts w:asciiTheme="majorHAnsi" w:hAnsiTheme="majorHAnsi" w:cstheme="majorHAnsi"/>
                <w:bCs/>
                <w:color w:val="EE0000"/>
                <w:sz w:val="26"/>
                <w:szCs w:val="26"/>
                <w:lang w:val="en-US"/>
              </w:rPr>
              <w:t xml:space="preserve"> </w:t>
            </w:r>
            <w:r>
              <w:rPr>
                <w:rFonts w:asciiTheme="majorHAnsi" w:hAnsiTheme="majorHAnsi" w:cstheme="majorHAnsi"/>
                <w:bCs/>
                <w:color w:val="EE0000"/>
                <w:sz w:val="26"/>
                <w:szCs w:val="26"/>
                <w:lang w:val="en-US"/>
              </w:rPr>
              <w:t xml:space="preserve">tại mật độ 1,0 </w:t>
            </w:r>
            <w:r w:rsidRPr="00F965AC">
              <w:rPr>
                <w:rFonts w:asciiTheme="majorHAnsi" w:hAnsiTheme="majorHAnsi" w:cstheme="majorHAnsi"/>
                <w:sz w:val="26"/>
                <w:szCs w:val="26"/>
              </w:rPr>
              <w:t>g/cm</w:t>
            </w:r>
            <w:r w:rsidRPr="00F965AC">
              <w:rPr>
                <w:rFonts w:asciiTheme="majorHAnsi" w:hAnsiTheme="majorHAnsi" w:cstheme="majorHAnsi"/>
                <w:sz w:val="26"/>
                <w:szCs w:val="26"/>
                <w:vertAlign w:val="superscript"/>
              </w:rPr>
              <w:t>3</w:t>
            </w:r>
            <w:r w:rsidRPr="003062F0">
              <w:rPr>
                <w:rFonts w:asciiTheme="majorHAnsi" w:hAnsiTheme="majorHAnsi" w:cstheme="majorHAnsi"/>
                <w:bCs/>
                <w:color w:val="EE0000"/>
                <w:sz w:val="26"/>
                <w:szCs w:val="26"/>
                <w:lang w:val="en-US"/>
              </w:rPr>
              <w:t xml:space="preserve"> tại QCVN 12-12:2022/BCT</w:t>
            </w:r>
          </w:p>
        </w:tc>
      </w:tr>
      <w:tr w:rsidR="00D12867" w:rsidRPr="00BA5387" w14:paraId="79826B1C" w14:textId="77777777" w:rsidTr="00E86916">
        <w:trPr>
          <w:trHeight w:val="125"/>
        </w:trPr>
        <w:tc>
          <w:tcPr>
            <w:tcW w:w="3431" w:type="dxa"/>
          </w:tcPr>
          <w:p w14:paraId="43D87004" w14:textId="77777777" w:rsidR="00D12867" w:rsidRPr="00F965AC" w:rsidRDefault="00D12867" w:rsidP="00D12867">
            <w:pPr>
              <w:widowControl w:val="0"/>
              <w:shd w:val="clear" w:color="auto" w:fill="FFFFFF"/>
              <w:jc w:val="both"/>
              <w:rPr>
                <w:rFonts w:asciiTheme="majorHAnsi" w:hAnsiTheme="majorHAnsi" w:cstheme="majorHAnsi"/>
                <w:sz w:val="26"/>
                <w:szCs w:val="26"/>
                <w:lang w:val="en-US"/>
              </w:rPr>
            </w:pPr>
          </w:p>
        </w:tc>
        <w:tc>
          <w:tcPr>
            <w:tcW w:w="5812" w:type="dxa"/>
          </w:tcPr>
          <w:p w14:paraId="620E8DEA" w14:textId="77777777" w:rsidR="00D12867" w:rsidRPr="00F965AC" w:rsidRDefault="00D12867" w:rsidP="00D12867">
            <w:pPr>
              <w:widowControl w:val="0"/>
              <w:shd w:val="clear" w:color="auto" w:fill="FFFFFF"/>
              <w:spacing w:before="60" w:after="60"/>
              <w:jc w:val="both"/>
              <w:rPr>
                <w:rFonts w:asciiTheme="majorHAnsi" w:hAnsiTheme="majorHAnsi" w:cstheme="majorHAnsi"/>
                <w:bCs/>
                <w:sz w:val="26"/>
                <w:szCs w:val="26"/>
              </w:rPr>
            </w:pPr>
            <w:r w:rsidRPr="00F965AC">
              <w:rPr>
                <w:rFonts w:asciiTheme="majorHAnsi" w:hAnsiTheme="majorHAnsi" w:cstheme="majorHAnsi"/>
                <w:bCs/>
                <w:sz w:val="26"/>
                <w:szCs w:val="26"/>
              </w:rPr>
              <w:t>7.5. Xác định độ nén trụ chì</w:t>
            </w:r>
          </w:p>
          <w:p w14:paraId="614E1607" w14:textId="63673DB2" w:rsidR="00D12867" w:rsidRPr="00F965AC" w:rsidRDefault="00D12867" w:rsidP="00D12867">
            <w:pPr>
              <w:snapToGrid w:val="0"/>
              <w:jc w:val="both"/>
              <w:rPr>
                <w:rFonts w:asciiTheme="majorHAnsi" w:hAnsiTheme="majorHAnsi" w:cstheme="majorHAnsi"/>
                <w:bCs/>
                <w:spacing w:val="-2"/>
                <w:sz w:val="26"/>
                <w:szCs w:val="26"/>
                <w:lang w:val="en-US"/>
              </w:rPr>
            </w:pPr>
            <w:r w:rsidRPr="00F965AC">
              <w:rPr>
                <w:rFonts w:asciiTheme="majorHAnsi" w:hAnsiTheme="majorHAnsi" w:cstheme="majorHAnsi"/>
                <w:sz w:val="26"/>
                <w:szCs w:val="26"/>
              </w:rPr>
              <w:t>Thực hiện theo TCVN 6421:1998.</w:t>
            </w:r>
          </w:p>
        </w:tc>
        <w:tc>
          <w:tcPr>
            <w:tcW w:w="5245" w:type="dxa"/>
          </w:tcPr>
          <w:p w14:paraId="0BAFFCD0" w14:textId="1203322B" w:rsidR="00D12867" w:rsidRPr="00F965AC" w:rsidRDefault="00652A22" w:rsidP="00D1286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t xml:space="preserve">Việc xác định độ nén trụ chì được thực hiện từ năm 1998 đến nay theo </w:t>
            </w:r>
            <w:r w:rsidRPr="00F965AC">
              <w:rPr>
                <w:rFonts w:asciiTheme="majorHAnsi" w:hAnsiTheme="majorHAnsi" w:cstheme="majorHAnsi"/>
                <w:sz w:val="26"/>
                <w:szCs w:val="26"/>
              </w:rPr>
              <w:t>TCVN 6424:1998</w:t>
            </w:r>
            <w:r>
              <w:rPr>
                <w:rFonts w:asciiTheme="majorHAnsi" w:hAnsiTheme="majorHAnsi" w:cstheme="majorHAnsi"/>
                <w:sz w:val="26"/>
                <w:szCs w:val="26"/>
                <w:lang w:val="en-US"/>
              </w:rPr>
              <w:t xml:space="preserve"> và đảm bảo an toàn, không có </w:t>
            </w:r>
            <w:r>
              <w:rPr>
                <w:rFonts w:asciiTheme="majorHAnsi" w:hAnsiTheme="majorHAnsi" w:cstheme="majorHAnsi"/>
                <w:bCs/>
                <w:color w:val="000000"/>
                <w:sz w:val="26"/>
                <w:szCs w:val="26"/>
                <w:lang w:val="en-US"/>
              </w:rPr>
              <w:t xml:space="preserve">phát sinh, vướng mắc trong quá trình thực hiện. Theo đó, đề nghị áp dụng </w:t>
            </w:r>
            <w:r w:rsidRPr="00F965AC">
              <w:rPr>
                <w:rFonts w:asciiTheme="majorHAnsi" w:hAnsiTheme="majorHAnsi" w:cstheme="majorHAnsi"/>
                <w:sz w:val="26"/>
                <w:szCs w:val="26"/>
              </w:rPr>
              <w:t>TCVN 642</w:t>
            </w:r>
            <w:r w:rsidR="00E27987">
              <w:rPr>
                <w:rFonts w:asciiTheme="majorHAnsi" w:hAnsiTheme="majorHAnsi" w:cstheme="majorHAnsi"/>
                <w:sz w:val="26"/>
                <w:szCs w:val="26"/>
                <w:lang w:val="en-US"/>
              </w:rPr>
              <w:t>1</w:t>
            </w:r>
            <w:r w:rsidRPr="00F965AC">
              <w:rPr>
                <w:rFonts w:asciiTheme="majorHAnsi" w:hAnsiTheme="majorHAnsi" w:cstheme="majorHAnsi"/>
                <w:sz w:val="26"/>
                <w:szCs w:val="26"/>
              </w:rPr>
              <w:t>:1998</w:t>
            </w:r>
            <w:r>
              <w:rPr>
                <w:rFonts w:asciiTheme="majorHAnsi" w:hAnsiTheme="majorHAnsi" w:cstheme="majorHAnsi"/>
                <w:sz w:val="26"/>
                <w:szCs w:val="26"/>
                <w:lang w:val="en-US"/>
              </w:rPr>
              <w:t xml:space="preserve"> để </w:t>
            </w:r>
            <w:r>
              <w:rPr>
                <w:rFonts w:asciiTheme="majorHAnsi" w:hAnsiTheme="majorHAnsi" w:cstheme="majorHAnsi"/>
                <w:bCs/>
                <w:color w:val="000000"/>
                <w:sz w:val="26"/>
                <w:szCs w:val="26"/>
                <w:lang w:val="en-US"/>
              </w:rPr>
              <w:t>xác định độ nén trụ chì.</w:t>
            </w:r>
          </w:p>
        </w:tc>
      </w:tr>
      <w:tr w:rsidR="00E27987" w:rsidRPr="00BA5387" w14:paraId="33CC0EC6" w14:textId="77777777" w:rsidTr="00E86916">
        <w:trPr>
          <w:trHeight w:val="125"/>
        </w:trPr>
        <w:tc>
          <w:tcPr>
            <w:tcW w:w="3431" w:type="dxa"/>
          </w:tcPr>
          <w:p w14:paraId="54E585F9" w14:textId="77777777" w:rsidR="00E27987" w:rsidRPr="00F965AC" w:rsidRDefault="00E27987" w:rsidP="00E27987">
            <w:pPr>
              <w:widowControl w:val="0"/>
              <w:shd w:val="clear" w:color="auto" w:fill="FFFFFF"/>
              <w:jc w:val="both"/>
              <w:rPr>
                <w:rFonts w:asciiTheme="majorHAnsi" w:hAnsiTheme="majorHAnsi" w:cstheme="majorHAnsi"/>
                <w:sz w:val="26"/>
                <w:szCs w:val="26"/>
                <w:lang w:val="en-US"/>
              </w:rPr>
            </w:pPr>
          </w:p>
        </w:tc>
        <w:tc>
          <w:tcPr>
            <w:tcW w:w="5812" w:type="dxa"/>
          </w:tcPr>
          <w:p w14:paraId="1F47D0B3" w14:textId="77777777" w:rsidR="00E27987" w:rsidRPr="00F965AC" w:rsidRDefault="00E27987" w:rsidP="00E27987">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7.6. Xác định độ nhạy va đập bằng phương pháp Cast</w:t>
            </w:r>
          </w:p>
          <w:p w14:paraId="211E1C5A" w14:textId="77777777" w:rsidR="00E27987" w:rsidRPr="00F965AC" w:rsidRDefault="00E27987" w:rsidP="00E27987">
            <w:pPr>
              <w:widowControl w:val="0"/>
              <w:shd w:val="clear" w:color="auto" w:fill="FFFFFF"/>
              <w:spacing w:before="60" w:after="60"/>
              <w:jc w:val="both"/>
              <w:textAlignment w:val="baseline"/>
              <w:rPr>
                <w:rFonts w:asciiTheme="majorHAnsi" w:hAnsiTheme="majorHAnsi" w:cstheme="majorHAnsi"/>
                <w:bCs/>
                <w:sz w:val="26"/>
                <w:szCs w:val="26"/>
                <w:bdr w:val="none" w:sz="0" w:space="0" w:color="auto" w:frame="1"/>
              </w:rPr>
            </w:pPr>
            <w:r w:rsidRPr="00F965AC">
              <w:rPr>
                <w:rFonts w:asciiTheme="majorHAnsi" w:hAnsiTheme="majorHAnsi" w:cstheme="majorHAnsi"/>
                <w:bCs/>
                <w:sz w:val="26"/>
                <w:szCs w:val="26"/>
                <w:bdr w:val="none" w:sz="0" w:space="0" w:color="auto" w:frame="1"/>
              </w:rPr>
              <w:t>7.6.1. Nguyên lý phương pháp</w:t>
            </w:r>
          </w:p>
          <w:p w14:paraId="1B325A73" w14:textId="77777777" w:rsidR="00E27987" w:rsidRPr="00F965AC" w:rsidRDefault="00E27987" w:rsidP="00E27987">
            <w:pPr>
              <w:widowControl w:val="0"/>
              <w:shd w:val="clear" w:color="auto" w:fill="FFFFFF"/>
              <w:spacing w:before="60" w:after="60"/>
              <w:jc w:val="both"/>
              <w:textAlignment w:val="baseline"/>
              <w:rPr>
                <w:rFonts w:asciiTheme="majorHAnsi" w:hAnsiTheme="majorHAnsi" w:cstheme="majorHAnsi"/>
                <w:sz w:val="26"/>
                <w:szCs w:val="26"/>
                <w:bdr w:val="none" w:sz="0" w:space="0" w:color="auto" w:frame="1"/>
                <w:lang w:val="pt-BR"/>
              </w:rPr>
            </w:pPr>
            <w:r w:rsidRPr="00F965AC">
              <w:rPr>
                <w:rFonts w:asciiTheme="majorHAnsi" w:hAnsiTheme="majorHAnsi" w:cstheme="majorHAnsi"/>
                <w:sz w:val="26"/>
                <w:szCs w:val="26"/>
                <w:bdr w:val="none" w:sz="0" w:space="0" w:color="auto" w:frame="1"/>
                <w:lang w:val="pt-BR"/>
              </w:rPr>
              <w:t xml:space="preserve">Xác định độ nhạy va đập của </w:t>
            </w:r>
            <w:r w:rsidRPr="00F965AC">
              <w:rPr>
                <w:rFonts w:asciiTheme="majorHAnsi" w:hAnsiTheme="majorHAnsi" w:cstheme="majorHAnsi"/>
                <w:sz w:val="26"/>
                <w:szCs w:val="26"/>
              </w:rPr>
              <w:t>thuốc nổ hỗn hợp của các loại thuốc nổ mạnh đơn chất</w:t>
            </w:r>
            <w:r w:rsidRPr="00F965AC">
              <w:rPr>
                <w:rFonts w:asciiTheme="majorHAnsi" w:hAnsiTheme="majorHAnsi" w:cstheme="majorHAnsi"/>
                <w:sz w:val="26"/>
                <w:szCs w:val="26"/>
                <w:bdr w:val="none" w:sz="0" w:space="0" w:color="auto" w:frame="1"/>
                <w:lang w:val="pt-BR"/>
              </w:rPr>
              <w:t xml:space="preserve"> theo tỷ lệ phần trăm nổ của mẫu bằng thiết bị đo độ nhạy va đập.</w:t>
            </w:r>
          </w:p>
          <w:p w14:paraId="75C4B8A1"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7.6.2. Vật tư, thiết bị, dụng cụ</w:t>
            </w:r>
          </w:p>
          <w:p w14:paraId="16EBE3F0"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xml:space="preserve">7.6.2.1. Thiết bị xác định độ nhạy va đập có yêu cầu kỹ thuật sau: Chiều cao làm việc không nhỏ hơn 500 mm; khối lượng quả búa 10,0 ± 0,01 kg; độ cứng đầu đập của búa: từ 61 đến 64 HRC; bề mặt đe thép phải song song với phương nằm ngang, cho phép lệch không lớn hơn 2 mm/m; độ nhám bề mặt đe thép (Ra) không lớn hơn 3,2 </w:t>
            </w:r>
            <w:r w:rsidRPr="00F965AC">
              <w:rPr>
                <w:rFonts w:asciiTheme="majorHAnsi" w:hAnsiTheme="majorHAnsi" w:cstheme="majorHAnsi"/>
                <w:bCs/>
                <w:sz w:val="26"/>
                <w:szCs w:val="26"/>
                <w:bdr w:val="none" w:sz="0" w:space="0" w:color="auto" w:frame="1"/>
                <w:lang w:val="pt-BR"/>
              </w:rPr>
              <w:sym w:font="Symbol" w:char="F06D"/>
            </w:r>
            <w:r w:rsidRPr="00F965AC">
              <w:rPr>
                <w:rFonts w:asciiTheme="majorHAnsi" w:hAnsiTheme="majorHAnsi" w:cstheme="majorHAnsi"/>
                <w:bCs/>
                <w:sz w:val="26"/>
                <w:szCs w:val="26"/>
                <w:bdr w:val="none" w:sz="0" w:space="0" w:color="auto" w:frame="1"/>
                <w:lang w:val="pt-BR"/>
              </w:rPr>
              <w:t>m; tỷ lệ phần trăm nổ của mẫu hexogen tinh chế: Từ 60 % đến 84 %;</w:t>
            </w:r>
          </w:p>
          <w:p w14:paraId="729433F1"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lastRenderedPageBreak/>
              <w:t>7.6.2.2. Bộ áo cối, cối, chày: Theo quy định tại Phụ lục 1 kèm theo Quy chuẩn kỹ thuật này;</w:t>
            </w:r>
          </w:p>
          <w:p w14:paraId="3A99A8E0" w14:textId="77777777" w:rsidR="00E27987" w:rsidRPr="00F965AC" w:rsidRDefault="00E27987" w:rsidP="00E27987">
            <w:pPr>
              <w:widowControl w:val="0"/>
              <w:shd w:val="clear" w:color="auto" w:fill="FFFFFF"/>
              <w:spacing w:before="60" w:after="60"/>
              <w:jc w:val="both"/>
              <w:textAlignment w:val="baseline"/>
              <w:rPr>
                <w:rFonts w:asciiTheme="majorHAnsi" w:hAnsiTheme="majorHAnsi" w:cstheme="majorHAnsi"/>
                <w:sz w:val="26"/>
                <w:szCs w:val="26"/>
              </w:rPr>
            </w:pPr>
            <w:r w:rsidRPr="00F965AC">
              <w:rPr>
                <w:rFonts w:asciiTheme="majorHAnsi" w:hAnsiTheme="majorHAnsi" w:cstheme="majorHAnsi"/>
                <w:sz w:val="26"/>
                <w:szCs w:val="26"/>
                <w:bdr w:val="none" w:sz="0" w:space="0" w:color="auto" w:frame="1"/>
              </w:rPr>
              <w:t xml:space="preserve">7.6.2.3. Tủ sấy, khoảng nhiệt độ làm việc từ 0 đến 200 </w:t>
            </w:r>
            <w:r w:rsidRPr="00F965AC">
              <w:rPr>
                <w:rFonts w:asciiTheme="majorHAnsi" w:hAnsiTheme="majorHAnsi" w:cstheme="majorHAnsi"/>
                <w:sz w:val="26"/>
                <w:szCs w:val="26"/>
                <w:bdr w:val="none" w:sz="0" w:space="0" w:color="auto" w:frame="1"/>
                <w:vertAlign w:val="superscript"/>
              </w:rPr>
              <w:t>o</w:t>
            </w:r>
            <w:r w:rsidRPr="00F965AC">
              <w:rPr>
                <w:rFonts w:asciiTheme="majorHAnsi" w:hAnsiTheme="majorHAnsi" w:cstheme="majorHAnsi"/>
                <w:sz w:val="26"/>
                <w:szCs w:val="26"/>
                <w:bdr w:val="none" w:sz="0" w:space="0" w:color="auto" w:frame="1"/>
              </w:rPr>
              <w:t xml:space="preserve">C, sai số ± 2 </w:t>
            </w:r>
            <w:r w:rsidRPr="00F965AC">
              <w:rPr>
                <w:rFonts w:asciiTheme="majorHAnsi" w:hAnsiTheme="majorHAnsi" w:cstheme="majorHAnsi"/>
                <w:sz w:val="26"/>
                <w:szCs w:val="26"/>
                <w:bdr w:val="none" w:sz="0" w:space="0" w:color="auto" w:frame="1"/>
                <w:vertAlign w:val="superscript"/>
              </w:rPr>
              <w:t>o</w:t>
            </w:r>
            <w:r w:rsidRPr="00F965AC">
              <w:rPr>
                <w:rFonts w:asciiTheme="majorHAnsi" w:hAnsiTheme="majorHAnsi" w:cstheme="majorHAnsi"/>
                <w:sz w:val="26"/>
                <w:szCs w:val="26"/>
                <w:bdr w:val="none" w:sz="0" w:space="0" w:color="auto" w:frame="1"/>
              </w:rPr>
              <w:t>C;</w:t>
            </w:r>
          </w:p>
          <w:p w14:paraId="33F06AD3" w14:textId="77777777" w:rsidR="00E27987" w:rsidRPr="00F965AC" w:rsidRDefault="00E27987" w:rsidP="00E27987">
            <w:pPr>
              <w:widowControl w:val="0"/>
              <w:shd w:val="clear" w:color="auto" w:fill="FFFFFF"/>
              <w:spacing w:before="60" w:after="60"/>
              <w:jc w:val="both"/>
              <w:textAlignment w:val="baseline"/>
              <w:rPr>
                <w:rFonts w:asciiTheme="majorHAnsi" w:hAnsiTheme="majorHAnsi" w:cstheme="majorHAnsi"/>
                <w:sz w:val="26"/>
                <w:szCs w:val="26"/>
              </w:rPr>
            </w:pPr>
            <w:r w:rsidRPr="00F965AC">
              <w:rPr>
                <w:rFonts w:asciiTheme="majorHAnsi" w:hAnsiTheme="majorHAnsi" w:cstheme="majorHAnsi"/>
                <w:sz w:val="26"/>
                <w:szCs w:val="26"/>
                <w:bdr w:val="none" w:sz="0" w:space="0" w:color="auto" w:frame="1"/>
              </w:rPr>
              <w:t>7.6.2.4. Cân phân tích, phạm vi đo từ 0 đến 330 g, sai số ± 0,0002 g;</w:t>
            </w:r>
          </w:p>
          <w:p w14:paraId="293EE523"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xml:space="preserve">7.6.2.5. Nhiệt ẩm kế: Phạm vi đo độ ẩm từ 0 đến 100 %RH, </w:t>
            </w:r>
            <w:r w:rsidRPr="00F965AC">
              <w:rPr>
                <w:rFonts w:asciiTheme="majorHAnsi" w:hAnsiTheme="majorHAnsi" w:cstheme="majorHAnsi"/>
                <w:sz w:val="26"/>
                <w:szCs w:val="26"/>
                <w:bdr w:val="none" w:sz="0" w:space="0" w:color="auto" w:frame="1"/>
              </w:rPr>
              <w:t>sai số ±</w:t>
            </w:r>
            <w:r w:rsidRPr="00F965AC">
              <w:rPr>
                <w:rFonts w:asciiTheme="majorHAnsi" w:hAnsiTheme="majorHAnsi" w:cstheme="majorHAnsi"/>
                <w:bCs/>
                <w:sz w:val="26"/>
                <w:szCs w:val="26"/>
                <w:bdr w:val="none" w:sz="0" w:space="0" w:color="auto" w:frame="1"/>
                <w:lang w:val="pt-BR"/>
              </w:rPr>
              <w:t xml:space="preserve"> 5 %RH; Phạm vi đo nhiệt độ từ 10 đến 100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 xml:space="preserve">C, </w:t>
            </w:r>
            <w:r w:rsidRPr="00F965AC">
              <w:rPr>
                <w:rFonts w:asciiTheme="majorHAnsi" w:hAnsiTheme="majorHAnsi" w:cstheme="majorHAnsi"/>
                <w:sz w:val="26"/>
                <w:szCs w:val="26"/>
                <w:bdr w:val="none" w:sz="0" w:space="0" w:color="auto" w:frame="1"/>
              </w:rPr>
              <w:t>sai số ±</w:t>
            </w:r>
            <w:r w:rsidRPr="00F965AC">
              <w:rPr>
                <w:rFonts w:asciiTheme="majorHAnsi" w:hAnsiTheme="majorHAnsi" w:cstheme="majorHAnsi"/>
                <w:bCs/>
                <w:sz w:val="26"/>
                <w:szCs w:val="26"/>
                <w:bdr w:val="none" w:sz="0" w:space="0" w:color="auto" w:frame="1"/>
                <w:lang w:val="pt-BR"/>
              </w:rPr>
              <w:t xml:space="preserve"> 1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C;</w:t>
            </w:r>
          </w:p>
          <w:p w14:paraId="6CE94A4D" w14:textId="77777777" w:rsidR="00E27987" w:rsidRPr="00F965AC" w:rsidRDefault="00E27987" w:rsidP="00E27987">
            <w:pPr>
              <w:widowControl w:val="0"/>
              <w:shd w:val="clear" w:color="auto" w:fill="FFFFFF"/>
              <w:spacing w:before="60" w:after="60"/>
              <w:jc w:val="both"/>
              <w:rPr>
                <w:rFonts w:asciiTheme="majorHAnsi" w:hAnsiTheme="majorHAnsi" w:cstheme="majorHAnsi"/>
                <w:sz w:val="26"/>
                <w:szCs w:val="26"/>
                <w:bdr w:val="none" w:sz="0" w:space="0" w:color="auto" w:frame="1"/>
              </w:rPr>
            </w:pPr>
            <w:r w:rsidRPr="00F965AC">
              <w:rPr>
                <w:rFonts w:asciiTheme="majorHAnsi" w:hAnsiTheme="majorHAnsi" w:cstheme="majorHAnsi"/>
                <w:bCs/>
                <w:sz w:val="26"/>
                <w:szCs w:val="26"/>
                <w:bdr w:val="none" w:sz="0" w:space="0" w:color="auto" w:frame="1"/>
                <w:lang w:val="pt-BR"/>
              </w:rPr>
              <w:t xml:space="preserve">7.6.2.6. Thước cặp, </w:t>
            </w:r>
            <w:r w:rsidRPr="00F965AC">
              <w:rPr>
                <w:rFonts w:asciiTheme="majorHAnsi" w:hAnsiTheme="majorHAnsi" w:cstheme="majorHAnsi"/>
                <w:sz w:val="26"/>
                <w:szCs w:val="26"/>
                <w:bdr w:val="none" w:sz="0" w:space="0" w:color="auto" w:frame="1"/>
              </w:rPr>
              <w:t>phạm vi đo từ 0 đến 200 mm, sai số ± 0,02 mm.</w:t>
            </w:r>
          </w:p>
          <w:p w14:paraId="4CD45CF7" w14:textId="77777777" w:rsidR="00E27987" w:rsidRPr="00F965AC" w:rsidRDefault="00E27987" w:rsidP="00E27987">
            <w:pPr>
              <w:widowControl w:val="0"/>
              <w:shd w:val="clear" w:color="auto" w:fill="FFFFFF"/>
              <w:spacing w:before="60" w:after="60"/>
              <w:jc w:val="both"/>
              <w:rPr>
                <w:rFonts w:asciiTheme="majorHAnsi" w:hAnsiTheme="majorHAnsi" w:cstheme="majorHAnsi"/>
                <w:sz w:val="26"/>
                <w:szCs w:val="26"/>
                <w:bdr w:val="none" w:sz="0" w:space="0" w:color="auto" w:frame="1"/>
              </w:rPr>
            </w:pPr>
            <w:r w:rsidRPr="00F965AC">
              <w:rPr>
                <w:rFonts w:asciiTheme="majorHAnsi" w:hAnsiTheme="majorHAnsi" w:cstheme="majorHAnsi"/>
                <w:sz w:val="26"/>
                <w:szCs w:val="26"/>
                <w:bdr w:val="none" w:sz="0" w:space="0" w:color="auto" w:frame="1"/>
              </w:rPr>
              <w:t>7.6.2.7. Panme đo ngoài, phạm vi đo từ 0 đến 25 mm, sai số ± 0,001 mm.</w:t>
            </w:r>
          </w:p>
          <w:p w14:paraId="09FF4647" w14:textId="77777777" w:rsidR="00E27987" w:rsidRPr="00F965AC" w:rsidRDefault="00E27987" w:rsidP="00E27987">
            <w:pPr>
              <w:widowControl w:val="0"/>
              <w:shd w:val="clear" w:color="auto" w:fill="FFFFFF"/>
              <w:spacing w:before="60" w:after="60"/>
              <w:jc w:val="both"/>
              <w:rPr>
                <w:rFonts w:asciiTheme="majorHAnsi" w:hAnsiTheme="majorHAnsi" w:cstheme="majorHAnsi"/>
                <w:sz w:val="26"/>
                <w:szCs w:val="26"/>
                <w:bdr w:val="none" w:sz="0" w:space="0" w:color="auto" w:frame="1"/>
              </w:rPr>
            </w:pPr>
            <w:r w:rsidRPr="00F965AC">
              <w:rPr>
                <w:rFonts w:asciiTheme="majorHAnsi" w:hAnsiTheme="majorHAnsi" w:cstheme="majorHAnsi"/>
                <w:sz w:val="26"/>
                <w:szCs w:val="26"/>
                <w:bdr w:val="none" w:sz="0" w:space="0" w:color="auto" w:frame="1"/>
              </w:rPr>
              <w:t>7.6.2.8. Panme đo trong, phạm vi đo từ 0 đến 25 mm, sai số ± 0,001 mm.</w:t>
            </w:r>
          </w:p>
          <w:p w14:paraId="2137BD67"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7.6.2.9. Dưỡng kiểm tra chiều cao, chiều cao 250 mm, sai số 0,5 mm.</w:t>
            </w:r>
          </w:p>
          <w:p w14:paraId="7269E751"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7.6.2.10. Dưỡng kiểm tra chiều cao, chiều cao 500 mm, sai số 0,5 mm.</w:t>
            </w:r>
          </w:p>
          <w:p w14:paraId="63DBF287"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7.6.2.11. Dưỡng kiểm tra lỗ cối, từ 9,98 mm đến 10,01 mm, sai số ± 0,0001 mm.</w:t>
            </w:r>
          </w:p>
          <w:p w14:paraId="07F418A9"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7.6.2.12. Dưỡng kiểm tra lỗ cối, từ 10,01 mm đến 10,02 mm, sai số ± 0,0001 mm.</w:t>
            </w:r>
          </w:p>
          <w:p w14:paraId="3A62C949"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7.6.2.13. Bộ sàng, bằng đồng hoặc kim loại màu gồm 03 loại có kích thước mắt sàng 0,20 mm, 0,28 mm và 0,40 mm.</w:t>
            </w:r>
          </w:p>
          <w:p w14:paraId="7AD0D0B4" w14:textId="77777777" w:rsidR="00E27987" w:rsidRPr="00F965AC" w:rsidRDefault="00E27987" w:rsidP="00E27987">
            <w:pPr>
              <w:widowControl w:val="0"/>
              <w:shd w:val="clear" w:color="auto" w:fill="FFFFFF"/>
              <w:spacing w:before="60" w:after="60"/>
              <w:jc w:val="both"/>
              <w:textAlignment w:val="baseline"/>
              <w:rPr>
                <w:rFonts w:asciiTheme="majorHAnsi" w:hAnsiTheme="majorHAnsi" w:cstheme="majorHAnsi"/>
                <w:sz w:val="26"/>
                <w:szCs w:val="26"/>
                <w:bdr w:val="none" w:sz="0" w:space="0" w:color="auto" w:frame="1"/>
              </w:rPr>
            </w:pPr>
            <w:r w:rsidRPr="00F965AC">
              <w:rPr>
                <w:rFonts w:asciiTheme="majorHAnsi" w:hAnsiTheme="majorHAnsi" w:cstheme="majorHAnsi"/>
                <w:bCs/>
                <w:sz w:val="26"/>
                <w:szCs w:val="26"/>
                <w:bdr w:val="none" w:sz="0" w:space="0" w:color="auto" w:frame="1"/>
                <w:lang w:val="pt-BR"/>
              </w:rPr>
              <w:lastRenderedPageBreak/>
              <w:t>7.6.2.14.</w:t>
            </w:r>
            <w:r w:rsidRPr="00F965AC">
              <w:rPr>
                <w:rFonts w:asciiTheme="majorHAnsi" w:hAnsiTheme="majorHAnsi" w:cstheme="majorHAnsi"/>
                <w:sz w:val="26"/>
                <w:szCs w:val="26"/>
                <w:bdr w:val="none" w:sz="0" w:space="0" w:color="auto" w:frame="1"/>
              </w:rPr>
              <w:t xml:space="preserve"> Bộ chày cối bằng đồng, sứ hoặc mã não.</w:t>
            </w:r>
          </w:p>
          <w:p w14:paraId="37E38BC4" w14:textId="77777777" w:rsidR="00E27987" w:rsidRPr="00F965AC" w:rsidRDefault="00E27987" w:rsidP="00E27987">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bdr w:val="none" w:sz="0" w:space="0" w:color="auto" w:frame="1"/>
                <w:lang w:val="pt-BR"/>
              </w:rPr>
              <w:t>7.6.2.15.</w:t>
            </w:r>
            <w:r w:rsidRPr="00F965AC">
              <w:rPr>
                <w:rFonts w:asciiTheme="majorHAnsi" w:hAnsiTheme="majorHAnsi" w:cstheme="majorHAnsi"/>
                <w:sz w:val="26"/>
                <w:szCs w:val="26"/>
              </w:rPr>
              <w:t xml:space="preserve"> Bình hút ẩm chứa silicagel hoặc </w:t>
            </w:r>
            <w:r w:rsidRPr="00F965AC">
              <w:rPr>
                <w:rFonts w:asciiTheme="majorHAnsi" w:hAnsiTheme="majorHAnsi" w:cstheme="majorHAnsi"/>
                <w:spacing w:val="-4"/>
                <w:sz w:val="26"/>
                <w:szCs w:val="26"/>
              </w:rPr>
              <w:t>canxi clorua khan</w:t>
            </w:r>
            <w:r w:rsidRPr="00F965AC">
              <w:rPr>
                <w:rFonts w:asciiTheme="majorHAnsi" w:hAnsiTheme="majorHAnsi" w:cstheme="majorHAnsi"/>
                <w:sz w:val="26"/>
                <w:szCs w:val="26"/>
              </w:rPr>
              <w:t>.</w:t>
            </w:r>
          </w:p>
          <w:p w14:paraId="2F75BA24" w14:textId="77777777" w:rsidR="00E27987" w:rsidRPr="00F965AC" w:rsidRDefault="00E27987" w:rsidP="00E27987">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bdr w:val="none" w:sz="0" w:space="0" w:color="auto" w:frame="1"/>
                <w:lang w:val="pt-BR"/>
              </w:rPr>
              <w:t>7.6.2.16.</w:t>
            </w:r>
            <w:r w:rsidRPr="00F965AC">
              <w:rPr>
                <w:rFonts w:asciiTheme="majorHAnsi" w:hAnsiTheme="majorHAnsi" w:cstheme="majorHAnsi"/>
                <w:sz w:val="26"/>
                <w:szCs w:val="26"/>
              </w:rPr>
              <w:t xml:space="preserve"> Axeton tinh khiết phân tích theo TCVN 4066:1985.</w:t>
            </w:r>
          </w:p>
          <w:p w14:paraId="5272CC0C"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xml:space="preserve">7.5.3. Chuẩn bị mẫu              </w:t>
            </w:r>
          </w:p>
          <w:p w14:paraId="190AC174"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xml:space="preserve">7.6.3.1. Mẫu được sấy đến khối lượng không đổi tại nhiệt độ từ 55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 xml:space="preserve">C đến 65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C và được bảo quản trong chén cân, túi PE hoặc vật liệu khác mà không ảnh hưởng đến chất lượng của thuốc.</w:t>
            </w:r>
          </w:p>
          <w:p w14:paraId="4CAC317E"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xml:space="preserve">7.6.3.2. Trước khi thử nghiệm, mẫu phải được sấy ở nhiệt độ từ 55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 xml:space="preserve">C đến 65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 xml:space="preserve">C đến khối lượng không đổi, sau đó để trong bình hút ẩm không nhỏ hơn 2 h trước khi thử nghiệm. Nếu mẫu để quá 24 h, trước khi thử nghiệm thực hiện sấy lại trong 01 h ở nhiệt độ từ 55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 xml:space="preserve">C đến 65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C.</w:t>
            </w:r>
          </w:p>
          <w:p w14:paraId="04F38B04" w14:textId="77777777" w:rsidR="00E27987" w:rsidRPr="00F965AC" w:rsidRDefault="00E27987" w:rsidP="00E27987">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7.6.4. Cách tiến hành</w:t>
            </w:r>
          </w:p>
          <w:p w14:paraId="0E28BC92" w14:textId="77777777" w:rsidR="00E27987" w:rsidRPr="00F965AC" w:rsidRDefault="00E27987" w:rsidP="00E27987">
            <w:pPr>
              <w:widowControl w:val="0"/>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sz w:val="26"/>
                <w:szCs w:val="26"/>
              </w:rPr>
              <w:t xml:space="preserve">7.6.4.1. </w:t>
            </w:r>
            <w:r w:rsidRPr="00F965AC">
              <w:rPr>
                <w:rFonts w:asciiTheme="majorHAnsi" w:hAnsiTheme="majorHAnsi" w:cstheme="majorHAnsi"/>
                <w:bCs/>
                <w:sz w:val="26"/>
                <w:szCs w:val="26"/>
                <w:bdr w:val="none" w:sz="0" w:space="0" w:color="auto" w:frame="1"/>
                <w:lang w:val="pt-BR"/>
              </w:rPr>
              <w:t>Thiết bị xác định độ nhạy va đập phải được kiểm tra kỹ thuật đạt yêu cầu. Được lau sạch dầu mỡ bảo quản tại vị trí lỗ cối, đầu búa, loại sạch bụi, gỉ (nếu có). Kiểm tra độ nẩy cúa búa rơi tự do trong điều kiện không có mẫu thử nghiệm tại độ cao 500 mm, đạt yêu cầu khi độ nẩy đạt từ 350 mm đến 375 mm.</w:t>
            </w:r>
          </w:p>
          <w:p w14:paraId="4BD6F5A5" w14:textId="77777777" w:rsidR="00E27987" w:rsidRPr="00F965AC" w:rsidRDefault="00E27987" w:rsidP="00E27987">
            <w:pPr>
              <w:widowControl w:val="0"/>
              <w:spacing w:before="60" w:after="60"/>
              <w:jc w:val="both"/>
              <w:rPr>
                <w:rFonts w:asciiTheme="majorHAnsi" w:hAnsiTheme="majorHAnsi" w:cstheme="majorHAnsi"/>
                <w:sz w:val="26"/>
                <w:szCs w:val="26"/>
              </w:rPr>
            </w:pPr>
            <w:r w:rsidRPr="00F965AC">
              <w:rPr>
                <w:rFonts w:asciiTheme="majorHAnsi" w:hAnsiTheme="majorHAnsi" w:cstheme="majorHAnsi"/>
                <w:bCs/>
                <w:sz w:val="26"/>
                <w:szCs w:val="26"/>
                <w:bdr w:val="none" w:sz="0" w:space="0" w:color="auto" w:frame="1"/>
                <w:lang w:val="pt-BR"/>
              </w:rPr>
              <w:t xml:space="preserve">7.6.4.2. Bộ áo cối, cối, chày phải kiểm tra kỹ thuật đạt yêu cầu theo Phụ lục 1 ban hành kèm theo Quy chuẩn kỹ thuật này. Khe hở giữa chày và cối phải nằm trong </w:t>
            </w:r>
            <w:r w:rsidRPr="00F965AC">
              <w:rPr>
                <w:rFonts w:asciiTheme="majorHAnsi" w:hAnsiTheme="majorHAnsi" w:cstheme="majorHAnsi"/>
                <w:bCs/>
                <w:sz w:val="26"/>
                <w:szCs w:val="26"/>
                <w:bdr w:val="none" w:sz="0" w:space="0" w:color="auto" w:frame="1"/>
                <w:lang w:val="pt-BR"/>
              </w:rPr>
              <w:lastRenderedPageBreak/>
              <w:t xml:space="preserve">khoảng từ 0,02 mm đến 0,03 mm. Được làm sạch dầu, mỡ, bụi bằng xăng, rửa bằng axeton, tráng bằng etanol và sấy khô trong tủ sấy ở nhiệt độ từ 50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 xml:space="preserve">C đến 60 </w:t>
            </w:r>
            <w:r w:rsidRPr="00F965AC">
              <w:rPr>
                <w:rFonts w:asciiTheme="majorHAnsi" w:hAnsiTheme="majorHAnsi" w:cstheme="majorHAnsi"/>
                <w:bCs/>
                <w:sz w:val="26"/>
                <w:szCs w:val="26"/>
                <w:bdr w:val="none" w:sz="0" w:space="0" w:color="auto" w:frame="1"/>
                <w:vertAlign w:val="superscript"/>
                <w:lang w:val="pt-BR"/>
              </w:rPr>
              <w:t>o</w:t>
            </w:r>
            <w:r w:rsidRPr="00F965AC">
              <w:rPr>
                <w:rFonts w:asciiTheme="majorHAnsi" w:hAnsiTheme="majorHAnsi" w:cstheme="majorHAnsi"/>
                <w:bCs/>
                <w:sz w:val="26"/>
                <w:szCs w:val="26"/>
                <w:bdr w:val="none" w:sz="0" w:space="0" w:color="auto" w:frame="1"/>
                <w:lang w:val="pt-BR"/>
              </w:rPr>
              <w:t>C trong 01 h. Để nguội trong bình hút ẩm đến nhiệ độ thử nghiệm.</w:t>
            </w:r>
          </w:p>
          <w:p w14:paraId="109A9529"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7.6.4.3. Cân 0,05 ± 0,002 g mẫu cho mỗi lần thử. Lắp cối vào áo cối, lắp chày thứ nhất vào cối. Chuyển mẫu vào cụm chày, cối vừa chuẩn bị. Cần thận đặt chày thứ 2 lên lớp thuốc nổ, ấn nhẹ và xoay từ 02 đến 03 vòng chày trên để dàn đều thuốc nổ giữa 02 chày;</w:t>
            </w:r>
          </w:p>
          <w:p w14:paraId="1558EDAF"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7.6.4.4. Nâng quả búa lên vị trí làm việc (250 mm);</w:t>
            </w:r>
          </w:p>
          <w:p w14:paraId="0FA3175D"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7.6.4.5. Lắp bộ chày cối chứa mẫu vào vị trí định vị trên thiết bị. Đặt tấm chắn an toàn trước thiết bị để ngăn cách giữa người thao tác với thiết bị;</w:t>
            </w:r>
          </w:p>
          <w:p w14:paraId="7EC3F484"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7.6.4.6. Giải phóng chốt hãm để búa rơi tự do;</w:t>
            </w:r>
          </w:p>
          <w:p w14:paraId="3E8872D3"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7.6.4.7. Kiểm tra xác định mẫu có nổ hay không, ghi lại kết quả. Tiếp tục thử nghiệm cho đến khi hết số mẫu đã chuẩn bị cho 01 lần thử nghiệm. Mẫu được cho là nổ khi quan sát thấy một số hiện tượng sau: Phân hủy (chuyển màu, có mùi, có hơi bay ra); cháy (bốc khói, có vệt hằn, vết xám xuất hiện sau vụ nổ, có tiếng nổ nhỏ); nổ (bốc khói, có vệt hằn, tiếng nổ rõ ràng);</w:t>
            </w:r>
          </w:p>
          <w:p w14:paraId="13A9E0B2"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xml:space="preserve">7.6.4.8. Tiến hành thử nghiệm song song 02 nhóm, mỗi nhóm 25 phát thử, xác định tỷ lệ phần trăm nổ của mỗi nhóm, đánh giá kết quả của 02 nhóm song song có nằm trong khoảng trị số nổ tin cậy không. Trường hợp không nằm trong khoảng trị số tin cậy, phải tìm </w:t>
            </w:r>
            <w:r w:rsidRPr="00F965AC">
              <w:rPr>
                <w:rFonts w:asciiTheme="majorHAnsi" w:hAnsiTheme="majorHAnsi" w:cstheme="majorHAnsi"/>
                <w:bCs/>
                <w:sz w:val="26"/>
                <w:szCs w:val="26"/>
                <w:bdr w:val="none" w:sz="0" w:space="0" w:color="auto" w:frame="1"/>
                <w:lang w:val="pt-BR"/>
              </w:rPr>
              <w:lastRenderedPageBreak/>
              <w:t>nguyên nhân rồi mới được phép tiến hành làm lại 02 nhóm mới.</w:t>
            </w:r>
          </w:p>
          <w:p w14:paraId="771DD08C"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Để đánh giá kết quả thử nghiệm của 02 nhóm có sự chênh lệch hay không, tiến hành như sau: Từ kết quả thử nghiệm của mỗi nhóm, tra Phụ lục II của số tin cậy 95 % để xác định khoảng trị số tin cậy của mỗi nhóm (P</w:t>
            </w:r>
            <w:r w:rsidRPr="00F965AC">
              <w:rPr>
                <w:rFonts w:asciiTheme="majorHAnsi" w:hAnsiTheme="majorHAnsi" w:cstheme="majorHAnsi"/>
                <w:bCs/>
                <w:sz w:val="26"/>
                <w:szCs w:val="26"/>
                <w:bdr w:val="none" w:sz="0" w:space="0" w:color="auto" w:frame="1"/>
                <w:vertAlign w:val="subscript"/>
                <w:lang w:val="pt-BR"/>
              </w:rPr>
              <w:t>1</w:t>
            </w:r>
            <w:r w:rsidRPr="00F965AC">
              <w:rPr>
                <w:rFonts w:asciiTheme="majorHAnsi" w:hAnsiTheme="majorHAnsi" w:cstheme="majorHAnsi"/>
                <w:bCs/>
                <w:sz w:val="26"/>
                <w:szCs w:val="26"/>
                <w:bdr w:val="none" w:sz="0" w:space="0" w:color="auto" w:frame="1"/>
                <w:lang w:val="pt-BR"/>
              </w:rPr>
              <w:t>, P</w:t>
            </w:r>
            <w:r w:rsidRPr="00F965AC">
              <w:rPr>
                <w:rFonts w:asciiTheme="majorHAnsi" w:hAnsiTheme="majorHAnsi" w:cstheme="majorHAnsi"/>
                <w:bCs/>
                <w:sz w:val="26"/>
                <w:szCs w:val="26"/>
                <w:bdr w:val="none" w:sz="0" w:space="0" w:color="auto" w:frame="1"/>
                <w:vertAlign w:val="subscript"/>
                <w:lang w:val="pt-BR"/>
              </w:rPr>
              <w:t>n</w:t>
            </w:r>
            <w:r w:rsidRPr="00F965AC">
              <w:rPr>
                <w:rFonts w:asciiTheme="majorHAnsi" w:hAnsiTheme="majorHAnsi" w:cstheme="majorHAnsi"/>
                <w:bCs/>
                <w:sz w:val="26"/>
                <w:szCs w:val="26"/>
                <w:bdr w:val="none" w:sz="0" w:space="0" w:color="auto" w:frame="1"/>
                <w:lang w:val="pt-BR"/>
              </w:rPr>
              <w:t>), trong đó P</w:t>
            </w:r>
            <w:r w:rsidRPr="00F965AC">
              <w:rPr>
                <w:rFonts w:asciiTheme="majorHAnsi" w:hAnsiTheme="majorHAnsi" w:cstheme="majorHAnsi"/>
                <w:bCs/>
                <w:sz w:val="26"/>
                <w:szCs w:val="26"/>
                <w:bdr w:val="none" w:sz="0" w:space="0" w:color="auto" w:frame="1"/>
                <w:vertAlign w:val="subscript"/>
                <w:lang w:val="pt-BR"/>
              </w:rPr>
              <w:t>1</w:t>
            </w:r>
            <w:r w:rsidRPr="00F965AC">
              <w:rPr>
                <w:rFonts w:asciiTheme="majorHAnsi" w:hAnsiTheme="majorHAnsi" w:cstheme="majorHAnsi"/>
                <w:bCs/>
                <w:sz w:val="26"/>
                <w:szCs w:val="26"/>
                <w:bdr w:val="none" w:sz="0" w:space="0" w:color="auto" w:frame="1"/>
                <w:lang w:val="pt-BR"/>
              </w:rPr>
              <w:t xml:space="preserve"> là giới hạn tin cậy dưới và P</w:t>
            </w:r>
            <w:r w:rsidRPr="00F965AC">
              <w:rPr>
                <w:rFonts w:asciiTheme="majorHAnsi" w:hAnsiTheme="majorHAnsi" w:cstheme="majorHAnsi"/>
                <w:bCs/>
                <w:sz w:val="26"/>
                <w:szCs w:val="26"/>
                <w:bdr w:val="none" w:sz="0" w:space="0" w:color="auto" w:frame="1"/>
                <w:vertAlign w:val="subscript"/>
                <w:lang w:val="pt-BR"/>
              </w:rPr>
              <w:t>n</w:t>
            </w:r>
            <w:r w:rsidRPr="00F965AC">
              <w:rPr>
                <w:rFonts w:asciiTheme="majorHAnsi" w:hAnsiTheme="majorHAnsi" w:cstheme="majorHAnsi"/>
                <w:bCs/>
                <w:sz w:val="26"/>
                <w:szCs w:val="26"/>
                <w:bdr w:val="none" w:sz="0" w:space="0" w:color="auto" w:frame="1"/>
                <w:lang w:val="pt-BR"/>
              </w:rPr>
              <w:t xml:space="preserve"> là giới hạn tin cậy trên. Chỉ cần kết quả thử nghiệm của 01 nhóm nằm trong khoảng trị số tin cậy của nhóm khác, nghĩa là kết quả thử nghiệm song song của 02 nhóm nằm trong vùng trị số tin cậy.</w:t>
            </w:r>
          </w:p>
          <w:p w14:paraId="4DD67A6D"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7.6.5. Cách tính kết quả</w:t>
            </w:r>
          </w:p>
          <w:p w14:paraId="38239345"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Tính toán tỷ lệ phần trăm nổ thử nghiệm đối với 01 nhóm (25 phát thử) theo công thức sau:</w:t>
            </w:r>
          </w:p>
          <w:p w14:paraId="47D59894" w14:textId="77777777" w:rsidR="00E27987" w:rsidRPr="00F965AC" w:rsidRDefault="00E27987" w:rsidP="00E27987">
            <w:pPr>
              <w:widowControl w:val="0"/>
              <w:spacing w:before="60" w:after="60"/>
              <w:ind w:left="1440" w:firstLine="720"/>
              <w:jc w:val="both"/>
              <w:rPr>
                <w:rFonts w:asciiTheme="majorHAnsi" w:hAnsiTheme="majorHAnsi" w:cstheme="majorHAnsi"/>
                <w:sz w:val="26"/>
                <w:szCs w:val="26"/>
                <w:vertAlign w:val="subscript"/>
              </w:rPr>
            </w:pPr>
            <w:r w:rsidRPr="00F965AC">
              <w:rPr>
                <w:rFonts w:asciiTheme="majorHAnsi" w:hAnsiTheme="majorHAnsi" w:cstheme="majorHAnsi"/>
                <w:sz w:val="26"/>
                <w:szCs w:val="26"/>
              </w:rPr>
              <w:t xml:space="preserve">             X</w:t>
            </w:r>
          </w:p>
          <w:p w14:paraId="684B4FC9" w14:textId="6B803907" w:rsidR="00E27987" w:rsidRPr="00F965AC" w:rsidRDefault="00E27987" w:rsidP="00E27987">
            <w:pPr>
              <w:widowControl w:val="0"/>
              <w:spacing w:before="60" w:after="60"/>
              <w:jc w:val="both"/>
              <w:rPr>
                <w:rFonts w:asciiTheme="majorHAnsi" w:hAnsiTheme="majorHAnsi" w:cstheme="majorHAnsi"/>
                <w:sz w:val="26"/>
                <w:szCs w:val="26"/>
              </w:rPr>
            </w:pPr>
            <w:r w:rsidRPr="00F965AC">
              <w:rPr>
                <w:rFonts w:asciiTheme="majorHAnsi" w:hAnsiTheme="majorHAnsi" w:cstheme="majorHAnsi"/>
                <w:noProof/>
                <w:sz w:val="26"/>
                <w:szCs w:val="26"/>
              </w:rPr>
              <mc:AlternateContent>
                <mc:Choice Requires="wps">
                  <w:drawing>
                    <wp:anchor distT="0" distB="0" distL="114300" distR="114300" simplePos="0" relativeHeight="251672576" behindDoc="0" locked="0" layoutInCell="1" allowOverlap="1" wp14:anchorId="1AA74D29" wp14:editId="5B6FCFB5">
                      <wp:simplePos x="0" y="0"/>
                      <wp:positionH relativeFrom="column">
                        <wp:posOffset>1808480</wp:posOffset>
                      </wp:positionH>
                      <wp:positionV relativeFrom="paragraph">
                        <wp:posOffset>82550</wp:posOffset>
                      </wp:positionV>
                      <wp:extent cx="457200" cy="0"/>
                      <wp:effectExtent l="11430" t="13970" r="7620" b="5080"/>
                      <wp:wrapNone/>
                      <wp:docPr id="75830129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97FC0" id="Straight Connector 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4pt,6.5pt" to="178.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"/>
                  </w:pict>
                </mc:Fallback>
              </mc:AlternateContent>
            </w:r>
            <w:r w:rsidRPr="00F965AC">
              <w:rPr>
                <w:rFonts w:asciiTheme="majorHAnsi" w:hAnsiTheme="majorHAnsi" w:cstheme="majorHAnsi"/>
                <w:sz w:val="26"/>
                <w:szCs w:val="26"/>
              </w:rPr>
              <w:tab/>
            </w:r>
            <w:r w:rsidRPr="00F965AC">
              <w:rPr>
                <w:rFonts w:asciiTheme="majorHAnsi" w:hAnsiTheme="majorHAnsi" w:cstheme="majorHAnsi"/>
                <w:sz w:val="26"/>
                <w:szCs w:val="26"/>
              </w:rPr>
              <w:tab/>
            </w:r>
            <w:r w:rsidRPr="00F965AC">
              <w:rPr>
                <w:rFonts w:asciiTheme="majorHAnsi" w:hAnsiTheme="majorHAnsi" w:cstheme="majorHAnsi"/>
                <w:sz w:val="26"/>
                <w:szCs w:val="26"/>
              </w:rPr>
              <w:tab/>
              <w:t>P =                  x 100  (5)</w:t>
            </w:r>
          </w:p>
          <w:p w14:paraId="2C40D30C" w14:textId="77777777" w:rsidR="00E27987" w:rsidRPr="00F965AC" w:rsidRDefault="00E27987" w:rsidP="00E27987">
            <w:pPr>
              <w:widowControl w:val="0"/>
              <w:spacing w:before="60" w:after="60"/>
              <w:jc w:val="both"/>
              <w:rPr>
                <w:rFonts w:asciiTheme="majorHAnsi" w:hAnsiTheme="majorHAnsi" w:cstheme="majorHAnsi"/>
                <w:sz w:val="26"/>
                <w:szCs w:val="26"/>
              </w:rPr>
            </w:pPr>
            <w:r w:rsidRPr="00F965AC">
              <w:rPr>
                <w:rFonts w:asciiTheme="majorHAnsi" w:hAnsiTheme="majorHAnsi" w:cstheme="majorHAnsi"/>
                <w:sz w:val="26"/>
                <w:szCs w:val="26"/>
              </w:rPr>
              <w:tab/>
            </w:r>
            <w:r w:rsidRPr="00F965AC">
              <w:rPr>
                <w:rFonts w:asciiTheme="majorHAnsi" w:hAnsiTheme="majorHAnsi" w:cstheme="majorHAnsi"/>
                <w:sz w:val="26"/>
                <w:szCs w:val="26"/>
              </w:rPr>
              <w:tab/>
            </w:r>
            <w:r w:rsidRPr="00F965AC">
              <w:rPr>
                <w:rFonts w:asciiTheme="majorHAnsi" w:hAnsiTheme="majorHAnsi" w:cstheme="majorHAnsi"/>
                <w:sz w:val="26"/>
                <w:szCs w:val="26"/>
              </w:rPr>
              <w:tab/>
            </w:r>
            <w:r w:rsidRPr="00F965AC">
              <w:rPr>
                <w:rFonts w:asciiTheme="majorHAnsi" w:hAnsiTheme="majorHAnsi" w:cstheme="majorHAnsi"/>
                <w:sz w:val="26"/>
                <w:szCs w:val="26"/>
              </w:rPr>
              <w:tab/>
              <w:t xml:space="preserve">   25    </w:t>
            </w:r>
            <w:r w:rsidRPr="00F965AC">
              <w:rPr>
                <w:rFonts w:asciiTheme="majorHAnsi" w:hAnsiTheme="majorHAnsi" w:cstheme="majorHAnsi"/>
                <w:sz w:val="26"/>
                <w:szCs w:val="26"/>
              </w:rPr>
              <w:tab/>
            </w:r>
          </w:p>
          <w:p w14:paraId="4DED44F5" w14:textId="77777777" w:rsidR="00E27987" w:rsidRPr="00F965AC" w:rsidRDefault="00E27987" w:rsidP="00E27987">
            <w:pPr>
              <w:widowControl w:val="0"/>
              <w:shd w:val="clear" w:color="auto" w:fill="FFFFFF"/>
              <w:spacing w:before="60" w:after="60"/>
              <w:ind w:firstLine="709"/>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xml:space="preserve">Trong đó: </w:t>
            </w:r>
          </w:p>
          <w:p w14:paraId="227B3D6D" w14:textId="77777777" w:rsidR="00E27987" w:rsidRPr="00F965AC" w:rsidRDefault="00E27987" w:rsidP="00E27987">
            <w:pPr>
              <w:widowControl w:val="0"/>
              <w:shd w:val="clear" w:color="auto" w:fill="FFFFFF"/>
              <w:spacing w:before="60" w:after="60"/>
              <w:ind w:firstLine="709"/>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P: là tỷ lệ phần trăm nổ, tính bằng %;</w:t>
            </w:r>
          </w:p>
          <w:p w14:paraId="6CF050F1" w14:textId="77777777" w:rsidR="00E27987" w:rsidRPr="00F965AC" w:rsidRDefault="00E27987" w:rsidP="00E27987">
            <w:pPr>
              <w:widowControl w:val="0"/>
              <w:shd w:val="clear" w:color="auto" w:fill="FFFFFF"/>
              <w:spacing w:before="60" w:after="60"/>
              <w:ind w:firstLine="709"/>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X là số phát nổ trong tổng số 25 phát thử.</w:t>
            </w:r>
          </w:p>
          <w:p w14:paraId="5A5E1F4A" w14:textId="77777777" w:rsidR="00E27987" w:rsidRPr="00F965AC" w:rsidRDefault="00E27987" w:rsidP="00E27987">
            <w:pPr>
              <w:widowControl w:val="0"/>
              <w:shd w:val="clear" w:color="auto" w:fill="FFFFFF"/>
              <w:spacing w:before="60" w:after="60"/>
              <w:jc w:val="both"/>
              <w:rPr>
                <w:rFonts w:asciiTheme="majorHAnsi" w:hAnsiTheme="majorHAnsi" w:cstheme="majorHAnsi"/>
                <w:bCs/>
                <w:sz w:val="26"/>
                <w:szCs w:val="26"/>
                <w:bdr w:val="none" w:sz="0" w:space="0" w:color="auto" w:frame="1"/>
                <w:lang w:val="pt-BR"/>
              </w:rPr>
            </w:pPr>
            <w:r w:rsidRPr="00F965AC">
              <w:rPr>
                <w:rFonts w:asciiTheme="majorHAnsi" w:hAnsiTheme="majorHAnsi" w:cstheme="majorHAnsi"/>
                <w:bCs/>
                <w:sz w:val="26"/>
                <w:szCs w:val="26"/>
                <w:bdr w:val="none" w:sz="0" w:space="0" w:color="auto" w:frame="1"/>
                <w:lang w:val="pt-BR"/>
              </w:rPr>
              <w:t xml:space="preserve">Khi tỷ lệ phần trăm của 02 nhóm thử nghiệm song song nằm trong vùng trị số tin cậy, lấy trị số bình quân làm kết quả độ nhạy va đập của mẫu thử này.  </w:t>
            </w:r>
          </w:p>
          <w:p w14:paraId="04518989" w14:textId="67E34FE5" w:rsidR="00E27987" w:rsidRPr="00F965AC" w:rsidRDefault="00E27987" w:rsidP="00E27987">
            <w:pPr>
              <w:snapToGrid w:val="0"/>
              <w:jc w:val="both"/>
              <w:rPr>
                <w:rFonts w:asciiTheme="majorHAnsi" w:hAnsiTheme="majorHAnsi" w:cstheme="majorHAnsi"/>
                <w:bCs/>
                <w:spacing w:val="-2"/>
                <w:sz w:val="26"/>
                <w:szCs w:val="26"/>
                <w:lang w:val="en-US"/>
              </w:rPr>
            </w:pPr>
            <w:r w:rsidRPr="00F965AC">
              <w:rPr>
                <w:rFonts w:asciiTheme="majorHAnsi" w:hAnsiTheme="majorHAnsi" w:cstheme="majorHAnsi"/>
                <w:bCs/>
                <w:sz w:val="26"/>
                <w:szCs w:val="26"/>
                <w:bdr w:val="none" w:sz="0" w:space="0" w:color="auto" w:frame="1"/>
                <w:lang w:val="pt-BR"/>
              </w:rPr>
              <w:t xml:space="preserve">Kết quả kiểm tra phải đạt yêu cầu theo quy định tại Điều 5 </w:t>
            </w:r>
            <w:r w:rsidRPr="00F965AC">
              <w:rPr>
                <w:rFonts w:asciiTheme="majorHAnsi" w:hAnsiTheme="majorHAnsi" w:cstheme="majorHAnsi"/>
                <w:sz w:val="26"/>
                <w:szCs w:val="26"/>
                <w:shd w:val="clear" w:color="auto" w:fill="FFFFFF"/>
              </w:rPr>
              <w:t>của Quy chuẩn kỹ thuật này</w:t>
            </w:r>
            <w:r w:rsidRPr="00F965AC">
              <w:rPr>
                <w:rFonts w:asciiTheme="majorHAnsi" w:hAnsiTheme="majorHAnsi" w:cstheme="majorHAnsi"/>
                <w:sz w:val="26"/>
                <w:szCs w:val="26"/>
                <w:lang w:val="pt-BR"/>
              </w:rPr>
              <w:t>.</w:t>
            </w:r>
          </w:p>
        </w:tc>
        <w:tc>
          <w:tcPr>
            <w:tcW w:w="5245" w:type="dxa"/>
          </w:tcPr>
          <w:p w14:paraId="47160BB6" w14:textId="1F00555B" w:rsidR="00E27987" w:rsidRPr="00F965AC" w:rsidRDefault="00E27987"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lastRenderedPageBreak/>
              <w:t>Phương pháp thử x</w:t>
            </w:r>
            <w:r w:rsidRPr="00F965AC">
              <w:rPr>
                <w:rFonts w:asciiTheme="majorHAnsi" w:hAnsiTheme="majorHAnsi" w:cstheme="majorHAnsi"/>
                <w:sz w:val="26"/>
                <w:szCs w:val="26"/>
              </w:rPr>
              <w:t>ác định độ nhạy va đập bằng phương pháp Cast</w:t>
            </w:r>
            <w:r>
              <w:rPr>
                <w:rFonts w:asciiTheme="majorHAnsi" w:hAnsiTheme="majorHAnsi" w:cstheme="majorHAnsi"/>
                <w:bCs/>
                <w:color w:val="000000"/>
                <w:sz w:val="26"/>
                <w:szCs w:val="26"/>
                <w:lang w:val="en-US"/>
              </w:rPr>
              <w:t xml:space="preserve"> được quy định tại QCVN 12-13:2022/BCT, QCVN 12-17:2023/BCT và trong quá trình thực hiện QCVN không có phát sinh, vướng mắc và chất lượng sản phẩm thuốc nổ TNT đảm bảo theo quy định. Theo đó, dự thảo QCVN kế thừa phương pháp thử thử x</w:t>
            </w:r>
            <w:r w:rsidRPr="00F965AC">
              <w:rPr>
                <w:rFonts w:asciiTheme="majorHAnsi" w:hAnsiTheme="majorHAnsi" w:cstheme="majorHAnsi"/>
                <w:sz w:val="26"/>
                <w:szCs w:val="26"/>
              </w:rPr>
              <w:t>ác định độ nhạy va đập bằng phương pháp Cast</w:t>
            </w:r>
            <w:r>
              <w:rPr>
                <w:rFonts w:asciiTheme="majorHAnsi" w:hAnsiTheme="majorHAnsi" w:cstheme="majorHAnsi"/>
                <w:bCs/>
                <w:color w:val="000000"/>
                <w:sz w:val="26"/>
                <w:szCs w:val="26"/>
                <w:lang w:val="en-US"/>
              </w:rPr>
              <w:t xml:space="preserve"> tại QCVN 12-13:2022/BCT, QCVN 12-17:2023/BCT</w:t>
            </w:r>
          </w:p>
        </w:tc>
      </w:tr>
      <w:tr w:rsidR="00E27987" w:rsidRPr="00BA5387" w14:paraId="5E58A85D" w14:textId="77777777" w:rsidTr="00E86916">
        <w:trPr>
          <w:trHeight w:val="125"/>
        </w:trPr>
        <w:tc>
          <w:tcPr>
            <w:tcW w:w="3431" w:type="dxa"/>
          </w:tcPr>
          <w:p w14:paraId="3C261A02" w14:textId="77777777" w:rsidR="00E27987" w:rsidRPr="00F965AC" w:rsidRDefault="00E27987" w:rsidP="00E27987">
            <w:pPr>
              <w:widowControl w:val="0"/>
              <w:shd w:val="clear" w:color="auto" w:fill="FFFFFF"/>
              <w:jc w:val="both"/>
              <w:rPr>
                <w:rFonts w:asciiTheme="majorHAnsi" w:hAnsiTheme="majorHAnsi" w:cstheme="majorHAnsi"/>
                <w:sz w:val="26"/>
                <w:szCs w:val="26"/>
                <w:lang w:val="en-US"/>
              </w:rPr>
            </w:pPr>
          </w:p>
        </w:tc>
        <w:tc>
          <w:tcPr>
            <w:tcW w:w="5812" w:type="dxa"/>
          </w:tcPr>
          <w:p w14:paraId="71467AC5" w14:textId="77777777" w:rsidR="00E27987" w:rsidRPr="00F965AC" w:rsidRDefault="00E27987" w:rsidP="00E27987">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7.7. Quy định về an toàn trong thử nghiệm</w:t>
            </w:r>
          </w:p>
          <w:p w14:paraId="1CC09C3D" w14:textId="37E0DD50" w:rsidR="00E27987" w:rsidRPr="00F965AC" w:rsidRDefault="00E27987" w:rsidP="00E27987">
            <w:pPr>
              <w:snapToGrid w:val="0"/>
              <w:jc w:val="both"/>
              <w:rPr>
                <w:rFonts w:asciiTheme="majorHAnsi" w:hAnsiTheme="majorHAnsi" w:cstheme="majorHAnsi"/>
                <w:bCs/>
                <w:spacing w:val="-2"/>
                <w:sz w:val="26"/>
                <w:szCs w:val="26"/>
                <w:lang w:val="en-US"/>
              </w:rPr>
            </w:pPr>
            <w:r w:rsidRPr="00F965AC">
              <w:rPr>
                <w:rFonts w:asciiTheme="majorHAnsi" w:hAnsiTheme="majorHAnsi" w:cstheme="majorHAnsi"/>
                <w:sz w:val="26"/>
                <w:szCs w:val="26"/>
              </w:rPr>
              <w:t>Phải tuân thủ quy định về an toàn trong bảo quản, sử dụng, tiêu hủy vật liệu nổ công nghiệp theo quy định tại Quy chuẩn số QCVN 01:2019/BCT trong quá trình thử nghiệm và tiêu hủy mẫu không đạt yêu cầu.</w:t>
            </w:r>
          </w:p>
        </w:tc>
        <w:tc>
          <w:tcPr>
            <w:tcW w:w="5245" w:type="dxa"/>
          </w:tcPr>
          <w:p w14:paraId="24369E03" w14:textId="1017A418" w:rsidR="00E27987" w:rsidRPr="00577F0F" w:rsidRDefault="00577F0F"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t xml:space="preserve">Thử nghiệm VLNCN là việc sử dụng VLNCN để xác định các chỉ tiêu kỹ thuật và quy định về an toàn trong sử dụng VLNCN đã được quy định tại QCVN 01:2019/BCT. Vì vậy, dự thảo QCVN quy định </w:t>
            </w:r>
            <w:r w:rsidRPr="00F965AC">
              <w:rPr>
                <w:rFonts w:asciiTheme="majorHAnsi" w:hAnsiTheme="majorHAnsi" w:cstheme="majorHAnsi"/>
                <w:sz w:val="26"/>
                <w:szCs w:val="26"/>
              </w:rPr>
              <w:t>về an toàn trong thử nghiệm</w:t>
            </w:r>
            <w:r>
              <w:rPr>
                <w:rFonts w:asciiTheme="majorHAnsi" w:hAnsiTheme="majorHAnsi" w:cstheme="majorHAnsi"/>
                <w:sz w:val="26"/>
                <w:szCs w:val="26"/>
                <w:lang w:val="en-US"/>
              </w:rPr>
              <w:t xml:space="preserve"> phải tuân thủ QCVN 01:2019/BCT</w:t>
            </w:r>
          </w:p>
        </w:tc>
      </w:tr>
      <w:tr w:rsidR="00E27987" w:rsidRPr="00BA5387" w14:paraId="6FB57C4B" w14:textId="77777777" w:rsidTr="00E86916">
        <w:trPr>
          <w:trHeight w:val="125"/>
        </w:trPr>
        <w:tc>
          <w:tcPr>
            <w:tcW w:w="3431" w:type="dxa"/>
          </w:tcPr>
          <w:p w14:paraId="74559234" w14:textId="77777777" w:rsidR="00E27987" w:rsidRPr="00F965AC" w:rsidRDefault="00E27987" w:rsidP="00E27987">
            <w:pPr>
              <w:widowControl w:val="0"/>
              <w:shd w:val="clear" w:color="auto" w:fill="FFFFFF"/>
              <w:jc w:val="both"/>
              <w:rPr>
                <w:rFonts w:asciiTheme="majorHAnsi" w:hAnsiTheme="majorHAnsi" w:cstheme="majorHAnsi"/>
                <w:sz w:val="26"/>
                <w:szCs w:val="26"/>
                <w:lang w:val="en-US"/>
              </w:rPr>
            </w:pPr>
          </w:p>
        </w:tc>
        <w:tc>
          <w:tcPr>
            <w:tcW w:w="5812" w:type="dxa"/>
          </w:tcPr>
          <w:p w14:paraId="38D493D9" w14:textId="77777777" w:rsidR="00E27987" w:rsidRPr="00F965AC" w:rsidRDefault="00E27987" w:rsidP="00E27987">
            <w:pPr>
              <w:widowControl w:val="0"/>
              <w:shd w:val="clear" w:color="auto" w:fill="FFFFFF"/>
              <w:tabs>
                <w:tab w:val="left" w:pos="567"/>
              </w:tabs>
              <w:spacing w:before="60" w:after="60"/>
              <w:jc w:val="both"/>
              <w:rPr>
                <w:rFonts w:asciiTheme="majorHAnsi" w:hAnsiTheme="majorHAnsi" w:cstheme="majorHAnsi"/>
                <w:sz w:val="26"/>
                <w:szCs w:val="26"/>
              </w:rPr>
            </w:pPr>
            <w:r w:rsidRPr="00F965AC">
              <w:rPr>
                <w:rFonts w:asciiTheme="majorHAnsi" w:hAnsiTheme="majorHAnsi" w:cstheme="majorHAnsi"/>
                <w:sz w:val="26"/>
                <w:szCs w:val="26"/>
              </w:rPr>
              <w:t>7.8. Quy định về sử dụng phương tiện đo</w:t>
            </w:r>
          </w:p>
          <w:p w14:paraId="11D6D146" w14:textId="4E38BC3B" w:rsidR="00E27987" w:rsidRPr="00F965AC" w:rsidRDefault="00E27987" w:rsidP="00E27987">
            <w:pPr>
              <w:snapToGrid w:val="0"/>
              <w:jc w:val="both"/>
              <w:rPr>
                <w:rFonts w:asciiTheme="majorHAnsi" w:hAnsiTheme="majorHAnsi" w:cstheme="majorHAnsi"/>
                <w:bCs/>
                <w:spacing w:val="-2"/>
                <w:sz w:val="26"/>
                <w:szCs w:val="26"/>
                <w:lang w:val="en-US"/>
              </w:rPr>
            </w:pPr>
            <w:r w:rsidRPr="00F965AC">
              <w:rPr>
                <w:rFonts w:asciiTheme="majorHAnsi" w:hAnsiTheme="majorHAnsi" w:cstheme="majorHAnsi"/>
                <w:spacing w:val="-4"/>
                <w:sz w:val="26"/>
                <w:szCs w:val="26"/>
              </w:rPr>
              <w:t>Phương tiện đo phải được kiểm định, hiệu chuẩn theo quy định của pháp luật về đo lường. Trong toàn bộ thời gian quy định của chu kỳ kiểm định, đặc tính kỹ thuật đo lường của phương tiện đo phải được duy trì trong suốt quá trình sử dụng.</w:t>
            </w:r>
          </w:p>
        </w:tc>
        <w:tc>
          <w:tcPr>
            <w:tcW w:w="5245" w:type="dxa"/>
          </w:tcPr>
          <w:p w14:paraId="792731FC" w14:textId="47AE1544" w:rsidR="00E27987" w:rsidRPr="00F965AC" w:rsidRDefault="006746BE"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t xml:space="preserve">Để phù hợp với quy định </w:t>
            </w:r>
            <w:r w:rsidR="00AA7887">
              <w:rPr>
                <w:rFonts w:asciiTheme="majorHAnsi" w:hAnsiTheme="majorHAnsi" w:cstheme="majorHAnsi"/>
                <w:bCs/>
                <w:color w:val="000000"/>
                <w:sz w:val="26"/>
                <w:szCs w:val="26"/>
                <w:lang w:val="en-US"/>
              </w:rPr>
              <w:t>của Luật Đo lường</w:t>
            </w:r>
          </w:p>
        </w:tc>
      </w:tr>
      <w:tr w:rsidR="00E27987" w:rsidRPr="00BA5387" w14:paraId="1263EC22" w14:textId="77777777" w:rsidTr="00E86916">
        <w:trPr>
          <w:trHeight w:val="125"/>
        </w:trPr>
        <w:tc>
          <w:tcPr>
            <w:tcW w:w="3431" w:type="dxa"/>
          </w:tcPr>
          <w:p w14:paraId="0197B058" w14:textId="77777777" w:rsidR="00E27987" w:rsidRPr="00F965AC" w:rsidRDefault="00E27987" w:rsidP="00E27987">
            <w:pPr>
              <w:widowControl w:val="0"/>
              <w:shd w:val="clear" w:color="auto" w:fill="FFFFFF"/>
              <w:jc w:val="both"/>
              <w:rPr>
                <w:rFonts w:asciiTheme="majorHAnsi" w:hAnsiTheme="majorHAnsi" w:cstheme="majorHAnsi"/>
                <w:sz w:val="26"/>
                <w:szCs w:val="26"/>
                <w:lang w:val="en-US"/>
              </w:rPr>
            </w:pPr>
          </w:p>
        </w:tc>
        <w:tc>
          <w:tcPr>
            <w:tcW w:w="5812" w:type="dxa"/>
          </w:tcPr>
          <w:p w14:paraId="18F734E5" w14:textId="77777777" w:rsidR="00E27987" w:rsidRPr="00F965AC" w:rsidRDefault="00E27987" w:rsidP="00E27987">
            <w:pPr>
              <w:widowControl w:val="0"/>
              <w:shd w:val="clear" w:color="auto" w:fill="FFFFFF"/>
              <w:spacing w:before="120" w:after="120"/>
              <w:jc w:val="both"/>
              <w:rPr>
                <w:rFonts w:asciiTheme="majorHAnsi" w:hAnsiTheme="majorHAnsi" w:cstheme="majorHAnsi"/>
                <w:b/>
                <w:sz w:val="26"/>
                <w:szCs w:val="26"/>
              </w:rPr>
            </w:pPr>
            <w:r w:rsidRPr="00F965AC">
              <w:rPr>
                <w:rFonts w:asciiTheme="majorHAnsi" w:hAnsiTheme="majorHAnsi" w:cstheme="majorHAnsi"/>
                <w:b/>
                <w:sz w:val="26"/>
                <w:szCs w:val="26"/>
              </w:rPr>
              <w:t>8. Quy định về quản lý</w:t>
            </w:r>
          </w:p>
          <w:p w14:paraId="3354CFD9" w14:textId="3EC686B1" w:rsidR="00E27987" w:rsidRPr="00F965AC" w:rsidRDefault="00E27987" w:rsidP="00E27987">
            <w:pPr>
              <w:widowControl w:val="0"/>
              <w:shd w:val="clear" w:color="auto" w:fill="FFFFFF"/>
              <w:spacing w:before="120" w:after="120"/>
              <w:jc w:val="both"/>
              <w:rPr>
                <w:rFonts w:asciiTheme="majorHAnsi" w:hAnsiTheme="majorHAnsi" w:cstheme="majorHAnsi"/>
                <w:sz w:val="26"/>
                <w:szCs w:val="26"/>
                <w:lang w:val="en-US"/>
              </w:rPr>
            </w:pPr>
            <w:r w:rsidRPr="00F965AC">
              <w:rPr>
                <w:rFonts w:asciiTheme="majorHAnsi" w:hAnsiTheme="majorHAnsi" w:cstheme="majorHAnsi"/>
                <w:sz w:val="26"/>
                <w:szCs w:val="26"/>
              </w:rPr>
              <w:t xml:space="preserve">Thuốc nổ hỗn hợp của các loại thuốc nổ mạnh đơn chất phải </w:t>
            </w:r>
            <w:r w:rsidRPr="00F965AC">
              <w:rPr>
                <w:rFonts w:asciiTheme="majorHAnsi" w:hAnsiTheme="majorHAnsi" w:cstheme="majorHAnsi"/>
                <w:sz w:val="26"/>
                <w:szCs w:val="26"/>
                <w:shd w:val="clear" w:color="auto" w:fill="FFFFFF"/>
              </w:rPr>
              <w:t xml:space="preserve">công bố hợp quy phù hợp quy định kỹ thuật tại Điều 5 của Quy chuẩn kỹ thuật này, gắn dấu hợp quy (dấu CR) và ghi nhãn hàng hóa trước khi lưu thông trên thị trường. Việc ghi nhãn </w:t>
            </w:r>
            <w:r w:rsidRPr="00F965AC">
              <w:rPr>
                <w:rFonts w:asciiTheme="majorHAnsi" w:hAnsiTheme="majorHAnsi" w:cstheme="majorHAnsi"/>
                <w:sz w:val="26"/>
                <w:szCs w:val="26"/>
              </w:rPr>
              <w:t xml:space="preserve">thuốc nổ hỗn hợp của các loại thuốc nổ mạnh đơn chất </w:t>
            </w:r>
            <w:r w:rsidRPr="00F965AC">
              <w:rPr>
                <w:rFonts w:asciiTheme="majorHAnsi" w:hAnsiTheme="majorHAnsi" w:cstheme="majorHAnsi"/>
                <w:sz w:val="26"/>
                <w:szCs w:val="26"/>
                <w:shd w:val="clear" w:color="auto" w:fill="FFFFFF"/>
              </w:rPr>
              <w:t>được t</w:t>
            </w:r>
            <w:r w:rsidRPr="00F965AC">
              <w:rPr>
                <w:rFonts w:asciiTheme="majorHAnsi" w:hAnsiTheme="majorHAnsi" w:cstheme="majorHAnsi"/>
                <w:sz w:val="26"/>
                <w:szCs w:val="26"/>
              </w:rPr>
              <w:t>hực hiện theo quy định tại Nghị định số 37/2026/NĐ-CP ngày 23 tháng 01 năm 2026 của Chính phủ quy định chi tiết một số điều và biện pháp để tổ chức, hướng dẫn thi hành Luật Chất lượng sản phẩm, hàng hóa (sau đây viết tắt là Nghị định số</w:t>
            </w:r>
            <w:hyperlink r:id="rId13" w:tgtFrame="_blank" w:history="1">
              <w:r w:rsidRPr="00F965AC">
                <w:rPr>
                  <w:rFonts w:asciiTheme="majorHAnsi" w:hAnsiTheme="majorHAnsi" w:cstheme="majorHAnsi"/>
                  <w:sz w:val="26"/>
                  <w:szCs w:val="26"/>
                </w:rPr>
                <w:t> 37/2026/NĐ-CP</w:t>
              </w:r>
            </w:hyperlink>
            <w:r w:rsidRPr="00F965AC">
              <w:rPr>
                <w:rFonts w:asciiTheme="majorHAnsi" w:hAnsiTheme="majorHAnsi" w:cstheme="majorHAnsi"/>
                <w:sz w:val="26"/>
                <w:szCs w:val="26"/>
              </w:rPr>
              <w:t xml:space="preserve">). Việc kiểm tra chất lượng </w:t>
            </w:r>
            <w:r w:rsidRPr="00F965AC">
              <w:rPr>
                <w:rFonts w:asciiTheme="majorHAnsi" w:hAnsiTheme="majorHAnsi" w:cstheme="majorHAnsi"/>
                <w:color w:val="EE0000"/>
                <w:sz w:val="26"/>
                <w:szCs w:val="26"/>
              </w:rPr>
              <w:t xml:space="preserve">thuốc nổ </w:t>
            </w:r>
            <w:r w:rsidRPr="00F965AC">
              <w:rPr>
                <w:rFonts w:asciiTheme="majorHAnsi" w:hAnsiTheme="majorHAnsi" w:cstheme="majorHAnsi"/>
                <w:sz w:val="26"/>
                <w:szCs w:val="26"/>
              </w:rPr>
              <w:t xml:space="preserve">hỗn hợp của các loại thuốc nổ mạnh đơn chất lưu thông trên thị trường thực hiện theo quy định tại khoản 3 Điều 69 Nghị định số </w:t>
            </w:r>
            <w:r w:rsidRPr="00F965AC">
              <w:rPr>
                <w:rFonts w:asciiTheme="majorHAnsi" w:hAnsiTheme="majorHAnsi" w:cstheme="majorHAnsi"/>
                <w:sz w:val="26"/>
                <w:szCs w:val="26"/>
              </w:rPr>
              <w:lastRenderedPageBreak/>
              <w:t>37/2026/NĐ-CP.</w:t>
            </w:r>
          </w:p>
        </w:tc>
        <w:tc>
          <w:tcPr>
            <w:tcW w:w="5245" w:type="dxa"/>
          </w:tcPr>
          <w:p w14:paraId="57B6944B" w14:textId="56B29D9E" w:rsidR="00E27987" w:rsidRPr="00F965AC" w:rsidRDefault="00904120"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lastRenderedPageBreak/>
              <w:t xml:space="preserve">Quy định công bố hợp quy, ghi nhãn hàng hóa, kiểm tra chất lượng hàng hóa lưu thông trên thị trường để phù hợp với Quy định của Luật Chất lượng sản phẩm hàng hóa và Nghị định số 37/2026/NĐ-CP </w:t>
            </w:r>
            <w:r w:rsidR="00E25E14">
              <w:rPr>
                <w:rFonts w:asciiTheme="majorHAnsi" w:hAnsiTheme="majorHAnsi" w:cstheme="majorHAnsi"/>
                <w:bCs/>
                <w:color w:val="000000"/>
                <w:sz w:val="26"/>
                <w:szCs w:val="26"/>
                <w:lang w:val="en-US"/>
              </w:rPr>
              <w:t>đối với hàng hóa có mức độ rủi ro trung bình (được đánh giá theo mẫu quy định tại Nghị định số 37/2026/NĐ-CP)</w:t>
            </w:r>
          </w:p>
        </w:tc>
      </w:tr>
      <w:tr w:rsidR="00E27987" w:rsidRPr="00BA5387" w14:paraId="12448CBF" w14:textId="77777777" w:rsidTr="00E86916">
        <w:trPr>
          <w:trHeight w:val="125"/>
        </w:trPr>
        <w:tc>
          <w:tcPr>
            <w:tcW w:w="3431" w:type="dxa"/>
          </w:tcPr>
          <w:p w14:paraId="3673F2A7" w14:textId="77777777" w:rsidR="00E27987" w:rsidRPr="00F965AC" w:rsidRDefault="00E27987" w:rsidP="00E27987">
            <w:pPr>
              <w:widowControl w:val="0"/>
              <w:shd w:val="clear" w:color="auto" w:fill="FFFFFF"/>
              <w:jc w:val="both"/>
              <w:rPr>
                <w:rFonts w:asciiTheme="majorHAnsi" w:hAnsiTheme="majorHAnsi" w:cstheme="majorHAnsi"/>
                <w:sz w:val="26"/>
                <w:szCs w:val="26"/>
                <w:lang w:val="en-US"/>
              </w:rPr>
            </w:pPr>
          </w:p>
        </w:tc>
        <w:tc>
          <w:tcPr>
            <w:tcW w:w="5812" w:type="dxa"/>
          </w:tcPr>
          <w:p w14:paraId="774440FE" w14:textId="77777777" w:rsidR="00E27987" w:rsidRPr="00F965AC" w:rsidRDefault="00E27987" w:rsidP="00E27987">
            <w:pPr>
              <w:widowControl w:val="0"/>
              <w:shd w:val="clear" w:color="auto" w:fill="FFFFFF"/>
              <w:spacing w:before="120" w:after="120"/>
              <w:jc w:val="both"/>
              <w:rPr>
                <w:rFonts w:asciiTheme="majorHAnsi" w:hAnsiTheme="majorHAnsi" w:cstheme="majorHAnsi"/>
                <w:b/>
                <w:sz w:val="26"/>
                <w:szCs w:val="26"/>
              </w:rPr>
            </w:pPr>
            <w:r w:rsidRPr="00F965AC">
              <w:rPr>
                <w:rFonts w:asciiTheme="majorHAnsi" w:hAnsiTheme="majorHAnsi" w:cstheme="majorHAnsi"/>
                <w:b/>
                <w:sz w:val="26"/>
                <w:szCs w:val="26"/>
              </w:rPr>
              <w:t>9. Công bố hợp quy</w:t>
            </w:r>
          </w:p>
          <w:p w14:paraId="7D65EDE7" w14:textId="4A64AB0E" w:rsidR="00E27987" w:rsidRPr="00F965AC" w:rsidRDefault="00E27987" w:rsidP="00E27987">
            <w:pPr>
              <w:snapToGrid w:val="0"/>
              <w:jc w:val="both"/>
              <w:rPr>
                <w:rFonts w:asciiTheme="majorHAnsi" w:hAnsiTheme="majorHAnsi" w:cstheme="majorHAnsi"/>
                <w:bCs/>
                <w:sz w:val="26"/>
                <w:szCs w:val="26"/>
                <w:lang w:val="en-US"/>
              </w:rPr>
            </w:pPr>
            <w:r w:rsidRPr="00F965AC">
              <w:rPr>
                <w:rFonts w:asciiTheme="majorHAnsi" w:hAnsiTheme="majorHAnsi" w:cstheme="majorHAnsi"/>
                <w:bCs/>
                <w:sz w:val="26"/>
                <w:szCs w:val="26"/>
              </w:rPr>
              <w:t xml:space="preserve">9.1. Việc công bố hợp quy sản phẩm thuốc nổ </w:t>
            </w:r>
            <w:r w:rsidRPr="00F965AC">
              <w:rPr>
                <w:rFonts w:asciiTheme="majorHAnsi" w:hAnsiTheme="majorHAnsi" w:cstheme="majorHAnsi"/>
                <w:sz w:val="26"/>
                <w:szCs w:val="26"/>
              </w:rPr>
              <w:t>hỗn hợp của các loại thuốc nổ mạnh đơn chất</w:t>
            </w:r>
            <w:r w:rsidRPr="00F965AC">
              <w:rPr>
                <w:rFonts w:asciiTheme="majorHAnsi" w:hAnsiTheme="majorHAnsi" w:cstheme="majorHAnsi"/>
                <w:bCs/>
                <w:sz w:val="26"/>
                <w:szCs w:val="26"/>
              </w:rPr>
              <w:t xml:space="preserve"> sản xuất trong nước được thực hiện theo quy định tại điểm a khoản 2 Điều 66 Nghị định số 37/2026/NĐ-CP. Việc công bố hợp quy sản phẩm thuốc nổ </w:t>
            </w:r>
            <w:r w:rsidRPr="00F965AC">
              <w:rPr>
                <w:rFonts w:asciiTheme="majorHAnsi" w:hAnsiTheme="majorHAnsi" w:cstheme="majorHAnsi"/>
                <w:sz w:val="26"/>
                <w:szCs w:val="26"/>
              </w:rPr>
              <w:t>hỗn hợp của các loại thuốc nổ mạnh đơn chất</w:t>
            </w:r>
            <w:r w:rsidRPr="00F965AC">
              <w:rPr>
                <w:rFonts w:asciiTheme="majorHAnsi" w:hAnsiTheme="majorHAnsi" w:cstheme="majorHAnsi"/>
                <w:bCs/>
                <w:sz w:val="26"/>
                <w:szCs w:val="26"/>
              </w:rPr>
              <w:t xml:space="preserve"> nhập khẩu được thực hiện theo quy định tại khoản 2 Điều 34 </w:t>
            </w:r>
            <w:bookmarkStart w:id="1" w:name="dc_18"/>
            <w:r w:rsidRPr="00F965AC">
              <w:rPr>
                <w:rFonts w:asciiTheme="majorHAnsi" w:hAnsiTheme="majorHAnsi" w:cstheme="majorHAnsi"/>
                <w:bCs/>
                <w:sz w:val="26"/>
                <w:szCs w:val="26"/>
              </w:rPr>
              <w:t>Luật Chất lượng sản phẩm, hàng hóa</w:t>
            </w:r>
            <w:bookmarkEnd w:id="1"/>
            <w:r w:rsidRPr="00F965AC">
              <w:rPr>
                <w:rFonts w:asciiTheme="majorHAnsi" w:hAnsiTheme="majorHAnsi" w:cstheme="majorHAnsi"/>
                <w:bCs/>
                <w:sz w:val="26"/>
                <w:szCs w:val="26"/>
              </w:rPr>
              <w:t>, được sửa đổi, bổ sung tại </w:t>
            </w:r>
            <w:bookmarkStart w:id="2" w:name="dc_19"/>
            <w:r w:rsidRPr="00F965AC">
              <w:rPr>
                <w:rFonts w:asciiTheme="majorHAnsi" w:hAnsiTheme="majorHAnsi" w:cstheme="majorHAnsi"/>
                <w:bCs/>
                <w:sz w:val="26"/>
                <w:szCs w:val="26"/>
              </w:rPr>
              <w:t>khoản 19 Điều 1 Luật số 78/2025/QH15</w:t>
            </w:r>
            <w:bookmarkEnd w:id="2"/>
            <w:r w:rsidRPr="00F965AC">
              <w:rPr>
                <w:rFonts w:asciiTheme="majorHAnsi" w:hAnsiTheme="majorHAnsi" w:cstheme="majorHAnsi"/>
                <w:bCs/>
                <w:sz w:val="26"/>
                <w:szCs w:val="26"/>
                <w:lang w:val="en-US"/>
              </w:rPr>
              <w:t>.</w:t>
            </w:r>
          </w:p>
          <w:p w14:paraId="190C7615" w14:textId="77777777" w:rsidR="00E27987" w:rsidRPr="00F965AC" w:rsidRDefault="00E27987" w:rsidP="00E27987">
            <w:pPr>
              <w:widowControl w:val="0"/>
              <w:shd w:val="clear" w:color="auto" w:fill="FFFFFF"/>
              <w:spacing w:before="120" w:after="120"/>
              <w:jc w:val="both"/>
              <w:rPr>
                <w:rFonts w:asciiTheme="majorHAnsi" w:hAnsiTheme="majorHAnsi" w:cstheme="majorHAnsi"/>
                <w:sz w:val="26"/>
                <w:szCs w:val="26"/>
              </w:rPr>
            </w:pPr>
            <w:r w:rsidRPr="00F965AC">
              <w:rPr>
                <w:rFonts w:asciiTheme="majorHAnsi" w:hAnsiTheme="majorHAnsi" w:cstheme="majorHAnsi"/>
                <w:sz w:val="26"/>
                <w:szCs w:val="26"/>
              </w:rPr>
              <w:t>9.2. Chứng nhận hợp quy</w:t>
            </w:r>
          </w:p>
          <w:p w14:paraId="1930D021" w14:textId="0E1ABB61" w:rsidR="00E27987" w:rsidRPr="00F965AC" w:rsidRDefault="00E27987" w:rsidP="00E27987">
            <w:pPr>
              <w:snapToGrid w:val="0"/>
              <w:jc w:val="both"/>
              <w:rPr>
                <w:rFonts w:asciiTheme="majorHAnsi" w:hAnsiTheme="majorHAnsi" w:cstheme="majorHAnsi"/>
                <w:bCs/>
                <w:spacing w:val="-2"/>
                <w:sz w:val="26"/>
                <w:szCs w:val="26"/>
                <w:lang w:val="en-US"/>
              </w:rPr>
            </w:pPr>
            <w:r w:rsidRPr="00F965AC">
              <w:rPr>
                <w:rFonts w:asciiTheme="majorHAnsi" w:hAnsiTheme="majorHAnsi" w:cstheme="majorHAnsi"/>
                <w:sz w:val="26"/>
                <w:szCs w:val="26"/>
              </w:rPr>
              <w:t>Chứng nhận hợp quy đối với thuốc nổ hỗn hợp của các loại thuốc nổ mạnh đơn chất sản xuất trong nước, nhập khẩu thực hiện theo phương thức 5 “</w:t>
            </w:r>
            <w:r w:rsidRPr="00F965AC">
              <w:rPr>
                <w:rFonts w:asciiTheme="majorHAnsi" w:hAnsiTheme="majorHAnsi" w:cstheme="majorHAnsi"/>
                <w:color w:val="000000"/>
                <w:sz w:val="26"/>
                <w:szCs w:val="26"/>
              </w:rPr>
              <w:t>Chứng nhận thông qua thử nghiệm mẫu đại diện cho kiểu, loại sản phẩm, hàng hóa và đánh giá quá trình sản xuất hoặc hệ thống quản lý. Giám sát thông qua thử nghiệm mẫu và đánh giá quá trình sản xuất hoặc hệ thống quản lý. Mẫu thử nghiệm trong giám sát có thể lấy tại nơi sản xuất hoặc lấy trên thị trường hoặc được lấy cả tại nơi sản xuất và trên thị trường</w:t>
            </w:r>
            <w:r w:rsidRPr="00F965AC">
              <w:rPr>
                <w:rFonts w:asciiTheme="majorHAnsi" w:hAnsiTheme="majorHAnsi" w:cstheme="majorHAnsi"/>
                <w:sz w:val="26"/>
                <w:szCs w:val="26"/>
              </w:rPr>
              <w:t>” hoặc phương thức 7 “</w:t>
            </w:r>
            <w:r w:rsidRPr="00F965AC">
              <w:rPr>
                <w:rFonts w:asciiTheme="majorHAnsi" w:hAnsiTheme="majorHAnsi" w:cstheme="majorHAnsi"/>
                <w:color w:val="000000"/>
                <w:sz w:val="26"/>
                <w:szCs w:val="26"/>
              </w:rPr>
              <w:t>Chứng nhận thông qua thử nghiệm, đánh giá lô sản phẩm, hàng hóa</w:t>
            </w:r>
            <w:r w:rsidRPr="00F965AC">
              <w:rPr>
                <w:rFonts w:asciiTheme="majorHAnsi" w:hAnsiTheme="majorHAnsi" w:cstheme="majorHAnsi"/>
                <w:sz w:val="26"/>
                <w:szCs w:val="26"/>
                <w:shd w:val="clear" w:color="auto" w:fill="FFFFFF"/>
              </w:rPr>
              <w:t>”</w:t>
            </w:r>
            <w:r w:rsidRPr="00F965AC">
              <w:rPr>
                <w:rFonts w:asciiTheme="majorHAnsi" w:hAnsiTheme="majorHAnsi" w:cstheme="majorHAnsi"/>
                <w:sz w:val="26"/>
                <w:szCs w:val="26"/>
              </w:rPr>
              <w:t xml:space="preserve"> tại cơ sở sản xuất theo quy định tại khoản 1 Điều 5 Thông tư số 14</w:t>
            </w:r>
            <w:hyperlink r:id="rId14" w:tgtFrame="_blank" w:history="1">
              <w:r w:rsidRPr="00F965AC">
                <w:rPr>
                  <w:rFonts w:asciiTheme="majorHAnsi" w:hAnsiTheme="majorHAnsi" w:cstheme="majorHAnsi"/>
                  <w:sz w:val="26"/>
                  <w:szCs w:val="26"/>
                </w:rPr>
                <w:t>/2026/TT-BKHCN</w:t>
              </w:r>
            </w:hyperlink>
            <w:r w:rsidRPr="00F965AC">
              <w:rPr>
                <w:rFonts w:asciiTheme="majorHAnsi" w:hAnsiTheme="majorHAnsi" w:cstheme="majorHAnsi"/>
                <w:sz w:val="26"/>
                <w:szCs w:val="26"/>
              </w:rPr>
              <w:t xml:space="preserve"> ngày 09 tháng 4 năm 2026 của Bộ Khoa học và Công </w:t>
            </w:r>
            <w:r w:rsidRPr="00F965AC">
              <w:rPr>
                <w:rFonts w:asciiTheme="majorHAnsi" w:hAnsiTheme="majorHAnsi" w:cstheme="majorHAnsi"/>
                <w:sz w:val="26"/>
                <w:szCs w:val="26"/>
              </w:rPr>
              <w:lastRenderedPageBreak/>
              <w:t>nghệ quy định về công bố hợp chuẩn, công bố hợp quy và phương thức đánh giá sự phù hợp với tiêu chuẩn, quy chuẩn kỹ thuật (sau đây viết tắt là Thông tư số</w:t>
            </w:r>
            <w:hyperlink r:id="rId15" w:tgtFrame="_blank" w:history="1">
              <w:r w:rsidRPr="00F965AC">
                <w:rPr>
                  <w:rFonts w:asciiTheme="majorHAnsi" w:hAnsiTheme="majorHAnsi" w:cstheme="majorHAnsi"/>
                  <w:sz w:val="26"/>
                  <w:szCs w:val="26"/>
                </w:rPr>
                <w:t> 14/2026/TT-BKHCN</w:t>
              </w:r>
            </w:hyperlink>
            <w:r w:rsidRPr="00F965AC">
              <w:rPr>
                <w:rFonts w:asciiTheme="majorHAnsi" w:hAnsiTheme="majorHAnsi" w:cstheme="majorHAnsi"/>
                <w:sz w:val="26"/>
                <w:szCs w:val="26"/>
              </w:rPr>
              <w:t>).</w:t>
            </w:r>
          </w:p>
        </w:tc>
        <w:tc>
          <w:tcPr>
            <w:tcW w:w="5245" w:type="dxa"/>
          </w:tcPr>
          <w:p w14:paraId="7B54D5C7" w14:textId="50A6D2C1" w:rsidR="00E27987" w:rsidRDefault="00DA0D57"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lastRenderedPageBreak/>
              <w:t>- Quy định cách thức công bố hợp quy</w:t>
            </w:r>
            <w:r w:rsidR="00E25E14">
              <w:rPr>
                <w:rFonts w:asciiTheme="majorHAnsi" w:hAnsiTheme="majorHAnsi" w:cstheme="majorHAnsi"/>
                <w:bCs/>
                <w:color w:val="000000"/>
                <w:sz w:val="26"/>
                <w:szCs w:val="26"/>
                <w:lang w:val="en-US"/>
              </w:rPr>
              <w:t xml:space="preserve"> sản phẩm sản xuất trong nước, sản phẩm nhập khẩu</w:t>
            </w:r>
            <w:r>
              <w:rPr>
                <w:rFonts w:asciiTheme="majorHAnsi" w:hAnsiTheme="majorHAnsi" w:cstheme="majorHAnsi"/>
                <w:bCs/>
                <w:color w:val="000000"/>
                <w:sz w:val="26"/>
                <w:szCs w:val="26"/>
                <w:lang w:val="en-US"/>
              </w:rPr>
              <w:t xml:space="preserve"> để phù hợp với Quy định của Luật Chất lượng sản phẩm hàng hóa và Nghị định số 37/2026/NĐ-CP</w:t>
            </w:r>
            <w:r w:rsidR="00E25E14">
              <w:rPr>
                <w:rFonts w:asciiTheme="majorHAnsi" w:hAnsiTheme="majorHAnsi" w:cstheme="majorHAnsi"/>
                <w:bCs/>
                <w:color w:val="000000"/>
                <w:sz w:val="26"/>
                <w:szCs w:val="26"/>
                <w:lang w:val="en-US"/>
              </w:rPr>
              <w:t xml:space="preserve"> đối với hàng hóa có mức độ rủi ro trung bình (được đánh giá theo mẫu quy định tại Nghị định số 37/2026/NĐ-CP)</w:t>
            </w:r>
            <w:r w:rsidR="00181A6D">
              <w:rPr>
                <w:rFonts w:asciiTheme="majorHAnsi" w:hAnsiTheme="majorHAnsi" w:cstheme="majorHAnsi"/>
                <w:bCs/>
                <w:color w:val="000000"/>
                <w:sz w:val="26"/>
                <w:szCs w:val="26"/>
                <w:lang w:val="en-US"/>
              </w:rPr>
              <w:t>.</w:t>
            </w:r>
          </w:p>
          <w:p w14:paraId="00AD4534" w14:textId="1DFB66E3" w:rsidR="00E25E14" w:rsidRPr="00F965AC" w:rsidRDefault="00E25E14"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t xml:space="preserve">- </w:t>
            </w:r>
            <w:r w:rsidR="00181A6D">
              <w:rPr>
                <w:rFonts w:asciiTheme="majorHAnsi" w:hAnsiTheme="majorHAnsi" w:cstheme="majorHAnsi"/>
                <w:bCs/>
                <w:color w:val="000000"/>
                <w:sz w:val="26"/>
                <w:szCs w:val="26"/>
                <w:lang w:val="en-US"/>
              </w:rPr>
              <w:t>Quy định phương thức đánh giá sự phù hợp sản phẩm để phù hợp với thực tế và tương tự các sản phẩm VLNCN khác.</w:t>
            </w:r>
          </w:p>
        </w:tc>
      </w:tr>
      <w:tr w:rsidR="00E27987" w:rsidRPr="00BA5387" w14:paraId="514E44EE" w14:textId="77777777" w:rsidTr="00E86916">
        <w:trPr>
          <w:trHeight w:val="125"/>
        </w:trPr>
        <w:tc>
          <w:tcPr>
            <w:tcW w:w="3431" w:type="dxa"/>
          </w:tcPr>
          <w:p w14:paraId="27DAFDDF" w14:textId="77777777" w:rsidR="00E27987" w:rsidRPr="00F965AC" w:rsidRDefault="00E27987" w:rsidP="00E27987">
            <w:pPr>
              <w:widowControl w:val="0"/>
              <w:shd w:val="clear" w:color="auto" w:fill="FFFFFF"/>
              <w:jc w:val="both"/>
              <w:rPr>
                <w:rFonts w:asciiTheme="majorHAnsi" w:hAnsiTheme="majorHAnsi" w:cstheme="majorHAnsi"/>
                <w:sz w:val="26"/>
                <w:szCs w:val="26"/>
                <w:lang w:val="en-US"/>
              </w:rPr>
            </w:pPr>
          </w:p>
        </w:tc>
        <w:tc>
          <w:tcPr>
            <w:tcW w:w="5812" w:type="dxa"/>
          </w:tcPr>
          <w:p w14:paraId="04ED8DD2" w14:textId="77777777" w:rsidR="00E27987" w:rsidRPr="00F965AC" w:rsidRDefault="00E27987" w:rsidP="00E27987">
            <w:pPr>
              <w:pStyle w:val="NormalWeb"/>
              <w:widowControl w:val="0"/>
              <w:shd w:val="clear" w:color="auto" w:fill="FFFFFF"/>
              <w:spacing w:before="120" w:beforeAutospacing="0" w:after="120" w:afterAutospacing="0"/>
              <w:jc w:val="both"/>
              <w:rPr>
                <w:rFonts w:asciiTheme="majorHAnsi" w:hAnsiTheme="majorHAnsi" w:cstheme="majorHAnsi"/>
                <w:b/>
                <w:bCs/>
                <w:spacing w:val="5"/>
                <w:sz w:val="26"/>
                <w:szCs w:val="26"/>
              </w:rPr>
            </w:pPr>
            <w:r w:rsidRPr="00F965AC">
              <w:rPr>
                <w:rFonts w:asciiTheme="majorHAnsi" w:hAnsiTheme="majorHAnsi" w:cstheme="majorHAnsi"/>
                <w:b/>
                <w:bCs/>
                <w:spacing w:val="5"/>
                <w:sz w:val="26"/>
                <w:szCs w:val="26"/>
              </w:rPr>
              <w:t xml:space="preserve">10. </w:t>
            </w:r>
            <w:r w:rsidRPr="00F965AC">
              <w:rPr>
                <w:rFonts w:asciiTheme="majorHAnsi" w:hAnsiTheme="majorHAnsi" w:cstheme="majorHAnsi"/>
                <w:b/>
                <w:spacing w:val="5"/>
                <w:sz w:val="26"/>
                <w:szCs w:val="26"/>
              </w:rPr>
              <w:t>Sử dụng dấu hợp quy</w:t>
            </w:r>
          </w:p>
          <w:p w14:paraId="174A16A0" w14:textId="286668BD" w:rsidR="00E27987" w:rsidRPr="00F965AC" w:rsidRDefault="00E27987" w:rsidP="00E27987">
            <w:pPr>
              <w:snapToGrid w:val="0"/>
              <w:jc w:val="both"/>
              <w:rPr>
                <w:rFonts w:asciiTheme="majorHAnsi" w:hAnsiTheme="majorHAnsi" w:cstheme="majorHAnsi"/>
                <w:bCs/>
                <w:spacing w:val="-2"/>
                <w:sz w:val="26"/>
                <w:szCs w:val="26"/>
                <w:lang w:val="en-US"/>
              </w:rPr>
            </w:pPr>
            <w:r w:rsidRPr="00F965AC">
              <w:rPr>
                <w:rFonts w:asciiTheme="majorHAnsi" w:hAnsiTheme="majorHAnsi" w:cstheme="majorHAnsi"/>
                <w:sz w:val="26"/>
                <w:szCs w:val="26"/>
              </w:rPr>
              <w:t>Dấu hợp quy và sử dụng dấu hợp quy phải tuân thủ theo quy định tại khoản 2 Điều 4 của Thông tư số</w:t>
            </w:r>
            <w:hyperlink r:id="rId16" w:tgtFrame="_blank" w:history="1">
              <w:r w:rsidRPr="00F965AC">
                <w:rPr>
                  <w:rFonts w:asciiTheme="majorHAnsi" w:hAnsiTheme="majorHAnsi" w:cstheme="majorHAnsi"/>
                  <w:sz w:val="26"/>
                  <w:szCs w:val="26"/>
                </w:rPr>
                <w:t> 14/2026/TT-BKHCN</w:t>
              </w:r>
            </w:hyperlink>
            <w:r w:rsidRPr="00F965AC">
              <w:rPr>
                <w:rFonts w:asciiTheme="majorHAnsi" w:hAnsiTheme="majorHAnsi" w:cstheme="majorHAnsi"/>
                <w:spacing w:val="-2"/>
                <w:sz w:val="26"/>
                <w:szCs w:val="26"/>
                <w:lang w:val="nl-BE"/>
              </w:rPr>
              <w:t>.</w:t>
            </w:r>
          </w:p>
        </w:tc>
        <w:tc>
          <w:tcPr>
            <w:tcW w:w="5245" w:type="dxa"/>
          </w:tcPr>
          <w:p w14:paraId="1052BDF6" w14:textId="12C031B5" w:rsidR="00E27987" w:rsidRPr="00F965AC" w:rsidRDefault="00AE50BD"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t>Để phù hợp với Luật Tiêu chuẩn, quy chuẩn kỹ thuật và các văn bản hướng dẫn</w:t>
            </w:r>
          </w:p>
        </w:tc>
      </w:tr>
      <w:tr w:rsidR="00E27987" w:rsidRPr="00BA5387" w14:paraId="098AAD35" w14:textId="77777777" w:rsidTr="00E86916">
        <w:trPr>
          <w:trHeight w:val="125"/>
        </w:trPr>
        <w:tc>
          <w:tcPr>
            <w:tcW w:w="3431" w:type="dxa"/>
          </w:tcPr>
          <w:p w14:paraId="484ED144" w14:textId="77777777" w:rsidR="00E27987" w:rsidRPr="00F965AC" w:rsidRDefault="00E27987" w:rsidP="00E27987">
            <w:pPr>
              <w:widowControl w:val="0"/>
              <w:shd w:val="clear" w:color="auto" w:fill="FFFFFF"/>
              <w:jc w:val="both"/>
              <w:rPr>
                <w:rFonts w:asciiTheme="majorHAnsi" w:hAnsiTheme="majorHAnsi" w:cstheme="majorHAnsi"/>
                <w:sz w:val="26"/>
                <w:szCs w:val="26"/>
                <w:lang w:val="en-US"/>
              </w:rPr>
            </w:pPr>
          </w:p>
        </w:tc>
        <w:tc>
          <w:tcPr>
            <w:tcW w:w="5812" w:type="dxa"/>
          </w:tcPr>
          <w:p w14:paraId="75090628" w14:textId="77777777" w:rsidR="00E27987" w:rsidRPr="00F965AC" w:rsidRDefault="00E27987" w:rsidP="00E27987">
            <w:pPr>
              <w:widowControl w:val="0"/>
              <w:shd w:val="clear" w:color="auto" w:fill="FFFFFF"/>
              <w:spacing w:before="120" w:after="120"/>
              <w:jc w:val="both"/>
              <w:rPr>
                <w:rFonts w:asciiTheme="majorHAnsi" w:hAnsiTheme="majorHAnsi" w:cstheme="majorHAnsi"/>
                <w:b/>
                <w:bCs/>
                <w:spacing w:val="-2"/>
                <w:sz w:val="26"/>
                <w:szCs w:val="26"/>
                <w:lang w:val="nl-BE"/>
              </w:rPr>
            </w:pPr>
            <w:r w:rsidRPr="00F965AC">
              <w:rPr>
                <w:rFonts w:asciiTheme="majorHAnsi" w:hAnsiTheme="majorHAnsi" w:cstheme="majorHAnsi"/>
                <w:b/>
                <w:bCs/>
                <w:spacing w:val="-2"/>
                <w:sz w:val="26"/>
                <w:szCs w:val="26"/>
                <w:lang w:val="nl-BE"/>
              </w:rPr>
              <w:t>11. Tần suất giám sát</w:t>
            </w:r>
          </w:p>
          <w:p w14:paraId="12BF046F" w14:textId="3B9EFEB4" w:rsidR="00E27987" w:rsidRPr="00F965AC" w:rsidRDefault="00E27987" w:rsidP="00E27987">
            <w:pPr>
              <w:snapToGrid w:val="0"/>
              <w:jc w:val="both"/>
              <w:rPr>
                <w:rFonts w:asciiTheme="majorHAnsi" w:hAnsiTheme="majorHAnsi" w:cstheme="majorHAnsi"/>
                <w:bCs/>
                <w:spacing w:val="-2"/>
                <w:sz w:val="26"/>
                <w:szCs w:val="26"/>
                <w:lang w:val="en-US"/>
              </w:rPr>
            </w:pPr>
            <w:r w:rsidRPr="00F965AC">
              <w:rPr>
                <w:rFonts w:asciiTheme="majorHAnsi" w:hAnsiTheme="majorHAnsi" w:cstheme="majorHAnsi"/>
                <w:color w:val="000000"/>
                <w:sz w:val="26"/>
                <w:szCs w:val="26"/>
              </w:rPr>
              <w:t xml:space="preserve">Đối với trường hợp chứng nhận hợp quy thực hiện theo phương thức 5, trong thời gian hiệu lực của chứng nhận về </w:t>
            </w:r>
            <w:r w:rsidRPr="00F965AC">
              <w:rPr>
                <w:rFonts w:asciiTheme="majorHAnsi" w:hAnsiTheme="majorHAnsi" w:cstheme="majorHAnsi"/>
                <w:sz w:val="26"/>
                <w:szCs w:val="26"/>
              </w:rPr>
              <w:t>sự phù hợp, thuốc nổ hỗn hợp của các loại thuốc nổ mạnh đơn chất phải được tiến hành hoạt động đánh giá gi</w:t>
            </w:r>
            <w:r w:rsidRPr="00F965AC">
              <w:rPr>
                <w:rFonts w:asciiTheme="majorHAnsi" w:hAnsiTheme="majorHAnsi" w:cstheme="majorHAnsi"/>
                <w:color w:val="000000"/>
                <w:sz w:val="26"/>
                <w:szCs w:val="26"/>
              </w:rPr>
              <w:t xml:space="preserve">ám sát thông qua thử nghiệm mẫu và đánh giá quá trình sản xuất hoặc hệ thống quản lý. </w:t>
            </w:r>
            <w:r w:rsidRPr="00F965AC">
              <w:rPr>
                <w:rFonts w:asciiTheme="majorHAnsi" w:hAnsiTheme="majorHAnsi" w:cstheme="majorHAnsi"/>
                <w:sz w:val="26"/>
                <w:szCs w:val="26"/>
              </w:rPr>
              <w:t xml:space="preserve">Mẫu thử nghiệm trong giám sát có thể lấy tại nơi sản xuất hoặc lấy trên thị trường hoặc được lấy tại nơi sản xuất và trên thị trường. Thời điểm đánh giá giám sát </w:t>
            </w:r>
            <w:r w:rsidR="00EC711C">
              <w:rPr>
                <w:rFonts w:asciiTheme="majorHAnsi" w:hAnsiTheme="majorHAnsi" w:cstheme="majorHAnsi"/>
                <w:sz w:val="26"/>
                <w:szCs w:val="26"/>
                <w:lang w:val="en-US"/>
              </w:rPr>
              <w:t>là</w:t>
            </w:r>
            <w:r w:rsidRPr="00F965AC">
              <w:rPr>
                <w:rFonts w:asciiTheme="majorHAnsi" w:hAnsiTheme="majorHAnsi" w:cstheme="majorHAnsi"/>
                <w:sz w:val="26"/>
                <w:szCs w:val="26"/>
              </w:rPr>
              <w:t xml:space="preserve"> 12 tháng tính từ thời điểm bắt đầu hiệu lực của giấy chứng nhận; thời điểm đánh giá giám sát lần tiếp theo </w:t>
            </w:r>
            <w:r w:rsidR="00587687">
              <w:rPr>
                <w:rFonts w:asciiTheme="majorHAnsi" w:hAnsiTheme="majorHAnsi" w:cstheme="majorHAnsi"/>
                <w:sz w:val="26"/>
                <w:szCs w:val="26"/>
                <w:lang w:val="en-US"/>
              </w:rPr>
              <w:t>là</w:t>
            </w:r>
            <w:r w:rsidRPr="00F965AC">
              <w:rPr>
                <w:rFonts w:asciiTheme="majorHAnsi" w:hAnsiTheme="majorHAnsi" w:cstheme="majorHAnsi"/>
                <w:sz w:val="26"/>
                <w:szCs w:val="26"/>
              </w:rPr>
              <w:t xml:space="preserve"> 24 tháng tính từ thời điểm ngày kết thúc đánh giá giám sát trước.</w:t>
            </w:r>
          </w:p>
        </w:tc>
        <w:tc>
          <w:tcPr>
            <w:tcW w:w="5245" w:type="dxa"/>
          </w:tcPr>
          <w:p w14:paraId="4519CAED" w14:textId="2CFA109F" w:rsidR="00E27987" w:rsidRPr="00F965AC" w:rsidRDefault="00587687"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t>Việc quy định tần suất giám sát phù hợp với Phương thức 5 quy định tại Thông tư số 14/2026/TT-BKHCN</w:t>
            </w:r>
          </w:p>
        </w:tc>
      </w:tr>
      <w:tr w:rsidR="00E27987" w:rsidRPr="00BA5387" w14:paraId="3B1A8F05" w14:textId="77777777" w:rsidTr="00E86916">
        <w:trPr>
          <w:trHeight w:val="125"/>
        </w:trPr>
        <w:tc>
          <w:tcPr>
            <w:tcW w:w="3431" w:type="dxa"/>
          </w:tcPr>
          <w:p w14:paraId="7A434308" w14:textId="77777777" w:rsidR="00E27987" w:rsidRPr="00F965AC" w:rsidRDefault="00E27987" w:rsidP="00E27987">
            <w:pPr>
              <w:widowControl w:val="0"/>
              <w:shd w:val="clear" w:color="auto" w:fill="FFFFFF"/>
              <w:jc w:val="both"/>
              <w:rPr>
                <w:rFonts w:asciiTheme="majorHAnsi" w:hAnsiTheme="majorHAnsi" w:cstheme="majorHAnsi"/>
                <w:sz w:val="26"/>
                <w:szCs w:val="26"/>
                <w:lang w:val="en-US"/>
              </w:rPr>
            </w:pPr>
          </w:p>
        </w:tc>
        <w:tc>
          <w:tcPr>
            <w:tcW w:w="5812" w:type="dxa"/>
          </w:tcPr>
          <w:p w14:paraId="02E74CF5" w14:textId="77777777" w:rsidR="00E27987" w:rsidRPr="00F965AC" w:rsidRDefault="00E27987" w:rsidP="00E27987">
            <w:pPr>
              <w:widowControl w:val="0"/>
              <w:shd w:val="clear" w:color="auto" w:fill="FFFFFF"/>
              <w:spacing w:before="60" w:after="60"/>
              <w:jc w:val="both"/>
              <w:rPr>
                <w:rFonts w:asciiTheme="majorHAnsi" w:hAnsiTheme="majorHAnsi" w:cstheme="majorHAnsi"/>
                <w:b/>
                <w:spacing w:val="-2"/>
                <w:sz w:val="26"/>
                <w:szCs w:val="26"/>
                <w:lang w:val="nl-BE"/>
              </w:rPr>
            </w:pPr>
            <w:r w:rsidRPr="00F965AC">
              <w:rPr>
                <w:rFonts w:asciiTheme="majorHAnsi" w:hAnsiTheme="majorHAnsi" w:cstheme="majorHAnsi"/>
                <w:b/>
                <w:spacing w:val="-2"/>
                <w:sz w:val="26"/>
                <w:szCs w:val="26"/>
                <w:lang w:val="nl-BE"/>
              </w:rPr>
              <w:t>12. Trách nhiệm của tổ chức, cá nhân</w:t>
            </w:r>
          </w:p>
          <w:p w14:paraId="7E8007E6" w14:textId="77777777" w:rsidR="00E27987" w:rsidRPr="00F965AC" w:rsidRDefault="00E27987" w:rsidP="00E27987">
            <w:pPr>
              <w:widowControl w:val="0"/>
              <w:shd w:val="clear" w:color="auto" w:fill="FFFFFF"/>
              <w:spacing w:before="60" w:after="60"/>
              <w:jc w:val="both"/>
              <w:rPr>
                <w:rFonts w:asciiTheme="majorHAnsi" w:hAnsiTheme="majorHAnsi" w:cstheme="majorHAnsi"/>
                <w:spacing w:val="-2"/>
                <w:sz w:val="26"/>
                <w:szCs w:val="26"/>
                <w:lang w:val="nl-BE"/>
              </w:rPr>
            </w:pPr>
            <w:r w:rsidRPr="00F965AC">
              <w:rPr>
                <w:rFonts w:asciiTheme="majorHAnsi" w:hAnsiTheme="majorHAnsi" w:cstheme="majorHAnsi"/>
                <w:spacing w:val="-2"/>
                <w:sz w:val="26"/>
                <w:szCs w:val="26"/>
                <w:lang w:val="nl-BE"/>
              </w:rPr>
              <w:t xml:space="preserve">12.1. Trách nhiệm của tổ chức sản xuất, kinh doanh, nhập khẩu </w:t>
            </w:r>
            <w:r w:rsidRPr="00F965AC">
              <w:rPr>
                <w:rFonts w:asciiTheme="majorHAnsi" w:hAnsiTheme="majorHAnsi" w:cstheme="majorHAnsi"/>
                <w:sz w:val="26"/>
                <w:szCs w:val="26"/>
              </w:rPr>
              <w:t>thuốc nổ hỗn hợp của các loại thuốc nổ mạnh đơn chất</w:t>
            </w:r>
          </w:p>
          <w:p w14:paraId="10BC0BE7" w14:textId="77777777" w:rsidR="00E27987" w:rsidRPr="00F965AC" w:rsidRDefault="00E27987" w:rsidP="00E27987">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pacing w:val="-2"/>
                <w:sz w:val="26"/>
                <w:szCs w:val="26"/>
                <w:lang w:val="nl-BE"/>
              </w:rPr>
              <w:lastRenderedPageBreak/>
              <w:t xml:space="preserve">12.1.1. Tổ chức sản xuất, kinh doanh </w:t>
            </w:r>
            <w:r w:rsidRPr="00F965AC">
              <w:rPr>
                <w:rFonts w:asciiTheme="majorHAnsi" w:hAnsiTheme="majorHAnsi" w:cstheme="majorHAnsi"/>
                <w:sz w:val="26"/>
                <w:szCs w:val="26"/>
              </w:rPr>
              <w:t>thuốc nổ hỗn hợp của các loại thuốc nổ mạnh đơn chất phải tuân thủ quy định tại Quy chuẩn kỹ thuật này và đảm bảo chất lượng phù hợp với quy định tại Luật Chất lượng sản phẩm hàng hóa.</w:t>
            </w:r>
          </w:p>
          <w:p w14:paraId="19216560" w14:textId="20247A46" w:rsidR="00E27987" w:rsidRPr="00A511EB" w:rsidRDefault="00E27987" w:rsidP="00E27987">
            <w:pPr>
              <w:widowControl w:val="0"/>
              <w:shd w:val="clear" w:color="auto" w:fill="FFFFFF"/>
              <w:spacing w:before="60" w:after="60"/>
              <w:jc w:val="both"/>
              <w:rPr>
                <w:rFonts w:asciiTheme="majorHAnsi" w:hAnsiTheme="majorHAnsi" w:cstheme="majorHAnsi"/>
                <w:spacing w:val="-2"/>
                <w:sz w:val="26"/>
                <w:szCs w:val="26"/>
                <w:lang w:val="nl-BE"/>
              </w:rPr>
            </w:pPr>
            <w:r w:rsidRPr="00F965AC">
              <w:rPr>
                <w:rFonts w:asciiTheme="majorHAnsi" w:hAnsiTheme="majorHAnsi" w:cstheme="majorHAnsi"/>
                <w:sz w:val="26"/>
                <w:szCs w:val="26"/>
              </w:rPr>
              <w:t>12.1.</w:t>
            </w:r>
            <w:r w:rsidRPr="00A511EB">
              <w:rPr>
                <w:rFonts w:asciiTheme="majorHAnsi" w:hAnsiTheme="majorHAnsi" w:cstheme="majorHAnsi"/>
                <w:sz w:val="26"/>
                <w:szCs w:val="26"/>
              </w:rPr>
              <w:t xml:space="preserve">2. </w:t>
            </w:r>
            <w:r w:rsidR="00A511EB" w:rsidRPr="00A511EB">
              <w:rPr>
                <w:rFonts w:asciiTheme="majorHAnsi" w:hAnsiTheme="majorHAnsi" w:cstheme="majorHAnsi"/>
                <w:sz w:val="26"/>
                <w:szCs w:val="26"/>
              </w:rPr>
              <w:t>Tổ chức sản xuất, nhập khẩu thuốc nổ hỗn hợp của các loại thuốc nổ mạnh đơn chất phải đăng ký bản công bố hợp quy theo quy định tại</w:t>
            </w:r>
            <w:r w:rsidR="00A511EB" w:rsidRPr="00A511EB">
              <w:rPr>
                <w:rFonts w:asciiTheme="majorHAnsi" w:hAnsiTheme="majorHAnsi" w:cstheme="majorHAnsi"/>
                <w:spacing w:val="-2"/>
                <w:sz w:val="26"/>
                <w:szCs w:val="26"/>
                <w:lang w:val="nl-BE"/>
              </w:rPr>
              <w:t xml:space="preserve"> khoản 2 Điều 37 Nghị định số 22/2026/NĐ-CP </w:t>
            </w:r>
            <w:r w:rsidR="00A511EB" w:rsidRPr="00A511EB">
              <w:rPr>
                <w:rFonts w:asciiTheme="majorHAnsi" w:hAnsiTheme="majorHAnsi" w:cstheme="majorHAnsi"/>
                <w:iCs/>
                <w:sz w:val="26"/>
                <w:szCs w:val="26"/>
              </w:rPr>
              <w:t>ngày 16 tháng 01 năm 2026 của Chính phủ quy định chi tiết một số điều và biện pháp để tổ chức, hướng dẫn thi hành Luật Tiêu chuẩn và Quy chuẩn kỹ thuật</w:t>
            </w:r>
            <w:r w:rsidR="00A511EB" w:rsidRPr="00A511EB">
              <w:rPr>
                <w:rFonts w:asciiTheme="majorHAnsi" w:hAnsiTheme="majorHAnsi" w:cstheme="majorHAnsi"/>
                <w:spacing w:val="-2"/>
                <w:sz w:val="26"/>
                <w:szCs w:val="26"/>
                <w:lang w:val="nl-BE"/>
              </w:rPr>
              <w:t>.</w:t>
            </w:r>
          </w:p>
          <w:p w14:paraId="313AE027" w14:textId="77777777" w:rsidR="00E27987" w:rsidRPr="00F965AC" w:rsidRDefault="00E27987" w:rsidP="00E27987">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12.2. Trách nhiệm của cơ quan quản lý nhà nước</w:t>
            </w:r>
          </w:p>
          <w:p w14:paraId="3AB60E90" w14:textId="77777777" w:rsidR="00E27987" w:rsidRPr="00F965AC" w:rsidRDefault="00E27987" w:rsidP="00E27987">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12.2.1. Cục Kỹ thuật an toàn và Môi trường công nghiệp chủ trì phối hợp với các đơn vị có liên quan hướng dẫn, kiểm tra việc thực hiện Quy chuẩn kỹ thuật này.</w:t>
            </w:r>
          </w:p>
          <w:p w14:paraId="016F8458" w14:textId="75596E58" w:rsidR="00E27987" w:rsidRPr="00F965AC" w:rsidRDefault="00E27987" w:rsidP="00E27987">
            <w:pPr>
              <w:snapToGrid w:val="0"/>
              <w:jc w:val="both"/>
              <w:rPr>
                <w:rFonts w:asciiTheme="majorHAnsi" w:hAnsiTheme="majorHAnsi" w:cstheme="majorHAnsi"/>
                <w:bCs/>
                <w:spacing w:val="-2"/>
                <w:sz w:val="26"/>
                <w:szCs w:val="26"/>
                <w:lang w:val="en-US"/>
              </w:rPr>
            </w:pPr>
            <w:r w:rsidRPr="00F965AC">
              <w:rPr>
                <w:rFonts w:asciiTheme="majorHAnsi" w:hAnsiTheme="majorHAnsi" w:cstheme="majorHAnsi"/>
                <w:sz w:val="26"/>
                <w:szCs w:val="26"/>
              </w:rPr>
              <w:t xml:space="preserve">12.2.2. Ủy ban nhân dân cấp tỉnh </w:t>
            </w:r>
            <w:r w:rsidRPr="00F965AC">
              <w:rPr>
                <w:rFonts w:asciiTheme="majorHAnsi" w:hAnsiTheme="majorHAnsi" w:cstheme="majorHAnsi"/>
                <w:sz w:val="26"/>
                <w:szCs w:val="26"/>
                <w:lang w:val="nl-NL"/>
              </w:rPr>
              <w:t xml:space="preserve">kiểm tra, đôn đốc về thực hiện các thủ tục công bố hợp quy theo quy định tại Quy chuẩn kỹ thuật này và </w:t>
            </w:r>
            <w:r w:rsidRPr="00F965AC">
              <w:rPr>
                <w:rFonts w:asciiTheme="majorHAnsi" w:hAnsiTheme="majorHAnsi" w:cstheme="majorHAnsi"/>
                <w:bCs/>
                <w:iCs/>
                <w:sz w:val="26"/>
                <w:szCs w:val="26"/>
              </w:rPr>
              <w:t xml:space="preserve">kiểm tra việc tuân thủ các quy định về quản lý chất lượng </w:t>
            </w:r>
            <w:r w:rsidRPr="00F965AC">
              <w:rPr>
                <w:rFonts w:asciiTheme="majorHAnsi" w:hAnsiTheme="majorHAnsi" w:cstheme="majorHAnsi"/>
                <w:sz w:val="26"/>
                <w:szCs w:val="26"/>
              </w:rPr>
              <w:t>thuốc nổ hỗn hợp của các loại thuốc nổ mạnh đơn chất</w:t>
            </w:r>
            <w:r w:rsidRPr="00F965AC">
              <w:rPr>
                <w:rFonts w:asciiTheme="majorHAnsi" w:hAnsiTheme="majorHAnsi" w:cstheme="majorHAnsi"/>
                <w:bCs/>
                <w:iCs/>
                <w:sz w:val="26"/>
                <w:szCs w:val="26"/>
              </w:rPr>
              <w:t xml:space="preserve"> của các doanh nghiệp trên địa bàn quản lý</w:t>
            </w:r>
            <w:r w:rsidRPr="00F965AC">
              <w:rPr>
                <w:rFonts w:asciiTheme="majorHAnsi" w:hAnsiTheme="majorHAnsi" w:cstheme="majorHAnsi"/>
                <w:sz w:val="26"/>
                <w:szCs w:val="26"/>
                <w:lang w:val="nl-NL"/>
              </w:rPr>
              <w:t>.</w:t>
            </w:r>
          </w:p>
        </w:tc>
        <w:tc>
          <w:tcPr>
            <w:tcW w:w="5245" w:type="dxa"/>
          </w:tcPr>
          <w:p w14:paraId="2E34CFF4" w14:textId="4A394F47" w:rsidR="00E27987" w:rsidRPr="00F965AC" w:rsidRDefault="00634768"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lastRenderedPageBreak/>
              <w:t>Quy định trách nhiệm của tổ chức, cá nhân để phù hợp với Luật Tiêu chuẩn</w:t>
            </w:r>
            <w:r w:rsidR="00767D17">
              <w:rPr>
                <w:rFonts w:asciiTheme="majorHAnsi" w:hAnsiTheme="majorHAnsi" w:cstheme="majorHAnsi"/>
                <w:bCs/>
                <w:color w:val="000000"/>
                <w:sz w:val="26"/>
                <w:szCs w:val="26"/>
                <w:lang w:val="en-US"/>
              </w:rPr>
              <w:t xml:space="preserve"> và Q</w:t>
            </w:r>
            <w:r>
              <w:rPr>
                <w:rFonts w:asciiTheme="majorHAnsi" w:hAnsiTheme="majorHAnsi" w:cstheme="majorHAnsi"/>
                <w:bCs/>
                <w:color w:val="000000"/>
                <w:sz w:val="26"/>
                <w:szCs w:val="26"/>
                <w:lang w:val="en-US"/>
              </w:rPr>
              <w:t xml:space="preserve">uy chuẩn kỹ thuật, Luật Chất lượng sản phẩm hàng hóa và các văn bản hướng dẫn </w:t>
            </w:r>
          </w:p>
        </w:tc>
      </w:tr>
      <w:tr w:rsidR="00E27987" w:rsidRPr="00BA5387" w14:paraId="4D568CB4" w14:textId="77777777" w:rsidTr="00E86916">
        <w:trPr>
          <w:trHeight w:val="125"/>
        </w:trPr>
        <w:tc>
          <w:tcPr>
            <w:tcW w:w="3431" w:type="dxa"/>
          </w:tcPr>
          <w:p w14:paraId="7B67D190" w14:textId="77777777" w:rsidR="00E27987" w:rsidRPr="00F965AC" w:rsidRDefault="00E27987" w:rsidP="00E27987">
            <w:pPr>
              <w:widowControl w:val="0"/>
              <w:shd w:val="clear" w:color="auto" w:fill="FFFFFF"/>
              <w:jc w:val="both"/>
              <w:rPr>
                <w:rFonts w:asciiTheme="majorHAnsi" w:hAnsiTheme="majorHAnsi" w:cstheme="majorHAnsi"/>
                <w:sz w:val="26"/>
                <w:szCs w:val="26"/>
                <w:lang w:val="en-US"/>
              </w:rPr>
            </w:pPr>
          </w:p>
        </w:tc>
        <w:tc>
          <w:tcPr>
            <w:tcW w:w="5812" w:type="dxa"/>
          </w:tcPr>
          <w:p w14:paraId="1720316A" w14:textId="77777777" w:rsidR="00E27987" w:rsidRPr="00F965AC" w:rsidRDefault="00E27987" w:rsidP="00E27987">
            <w:pPr>
              <w:widowControl w:val="0"/>
              <w:spacing w:before="60" w:after="60"/>
              <w:jc w:val="both"/>
              <w:rPr>
                <w:rFonts w:asciiTheme="majorHAnsi" w:hAnsiTheme="majorHAnsi" w:cstheme="majorHAnsi"/>
                <w:b/>
                <w:bCs/>
                <w:sz w:val="26"/>
                <w:szCs w:val="26"/>
              </w:rPr>
            </w:pPr>
            <w:r w:rsidRPr="00F965AC">
              <w:rPr>
                <w:rFonts w:asciiTheme="majorHAnsi" w:hAnsiTheme="majorHAnsi" w:cstheme="majorHAnsi"/>
                <w:b/>
                <w:sz w:val="26"/>
                <w:szCs w:val="26"/>
              </w:rPr>
              <w:t xml:space="preserve">13. </w:t>
            </w:r>
            <w:r w:rsidRPr="00F965AC">
              <w:rPr>
                <w:rFonts w:asciiTheme="majorHAnsi" w:hAnsiTheme="majorHAnsi" w:cstheme="majorHAnsi"/>
                <w:b/>
                <w:bCs/>
                <w:sz w:val="26"/>
                <w:szCs w:val="26"/>
              </w:rPr>
              <w:t>Hiệu lực thi hành</w:t>
            </w:r>
          </w:p>
          <w:p w14:paraId="49145F3D" w14:textId="77777777" w:rsidR="00E27987" w:rsidRPr="00F965AC" w:rsidRDefault="00E27987" w:rsidP="00E27987">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13.1. Quy chuẩn kỹ thuật này có hiệu lực thi hành kể từ ngày 01 tháng 7 năm 2027.</w:t>
            </w:r>
          </w:p>
          <w:p w14:paraId="2D9675B0" w14:textId="77777777" w:rsidR="00E27987" w:rsidRPr="00F965AC" w:rsidRDefault="00E27987" w:rsidP="00E27987">
            <w:pPr>
              <w:widowControl w:val="0"/>
              <w:shd w:val="clear" w:color="auto" w:fill="FFFFFF"/>
              <w:spacing w:before="60" w:after="60"/>
              <w:jc w:val="both"/>
              <w:rPr>
                <w:rFonts w:asciiTheme="majorHAnsi" w:hAnsiTheme="majorHAnsi" w:cstheme="majorHAnsi"/>
                <w:sz w:val="26"/>
                <w:szCs w:val="26"/>
              </w:rPr>
            </w:pPr>
            <w:r w:rsidRPr="00F965AC">
              <w:rPr>
                <w:rFonts w:asciiTheme="majorHAnsi" w:hAnsiTheme="majorHAnsi" w:cstheme="majorHAnsi"/>
                <w:sz w:val="26"/>
                <w:szCs w:val="26"/>
              </w:rPr>
              <w:t xml:space="preserve">13.2. Trong quá trình thực hiện Quy chuẩn kỹ thuật </w:t>
            </w:r>
            <w:r w:rsidRPr="00F965AC">
              <w:rPr>
                <w:rFonts w:asciiTheme="majorHAnsi" w:hAnsiTheme="majorHAnsi" w:cstheme="majorHAnsi"/>
                <w:sz w:val="26"/>
                <w:szCs w:val="26"/>
              </w:rPr>
              <w:lastRenderedPageBreak/>
              <w:t>này, trường hợp tổ chức, cá nhân có khó khăn, vướng mắc đề nghị phản ánh về Bộ Công Thương để xem xét, giải quyết.</w:t>
            </w:r>
          </w:p>
          <w:p w14:paraId="58DF8A35" w14:textId="002DA234" w:rsidR="00E27987" w:rsidRPr="00F965AC" w:rsidRDefault="00E27987" w:rsidP="00E27987">
            <w:pPr>
              <w:snapToGrid w:val="0"/>
              <w:jc w:val="both"/>
              <w:rPr>
                <w:rFonts w:asciiTheme="majorHAnsi" w:hAnsiTheme="majorHAnsi" w:cstheme="majorHAnsi"/>
                <w:bCs/>
                <w:spacing w:val="-2"/>
                <w:sz w:val="26"/>
                <w:szCs w:val="26"/>
                <w:lang w:val="en-US"/>
              </w:rPr>
            </w:pPr>
            <w:r w:rsidRPr="00F965AC">
              <w:rPr>
                <w:rFonts w:asciiTheme="majorHAnsi" w:hAnsiTheme="majorHAnsi" w:cstheme="majorHAnsi"/>
                <w:iCs/>
                <w:sz w:val="26"/>
                <w:szCs w:val="26"/>
              </w:rPr>
              <w:t>13.2. Trong trường hợp các văn bản quy phạm pháp luật, Tiêu chuẩn viện dẫn tại Quy chuẩn kỹ thuật này có sửa đổi, bổ sung hoặc được thay thế thì thực hiện theo quy định tại văn bản hiện hành./.</w:t>
            </w:r>
          </w:p>
        </w:tc>
        <w:tc>
          <w:tcPr>
            <w:tcW w:w="5245" w:type="dxa"/>
          </w:tcPr>
          <w:p w14:paraId="12C5E7B4" w14:textId="3FF9A9AE" w:rsidR="00E27987" w:rsidRPr="00F965AC" w:rsidRDefault="00767D17" w:rsidP="00E27987">
            <w:pPr>
              <w:snapToGrid w:val="0"/>
              <w:jc w:val="both"/>
              <w:rPr>
                <w:rFonts w:asciiTheme="majorHAnsi" w:hAnsiTheme="majorHAnsi" w:cstheme="majorHAnsi"/>
                <w:bCs/>
                <w:color w:val="000000"/>
                <w:sz w:val="26"/>
                <w:szCs w:val="26"/>
                <w:lang w:val="en-US"/>
              </w:rPr>
            </w:pPr>
            <w:r>
              <w:rPr>
                <w:rFonts w:asciiTheme="majorHAnsi" w:hAnsiTheme="majorHAnsi" w:cstheme="majorHAnsi"/>
                <w:bCs/>
                <w:color w:val="000000"/>
                <w:sz w:val="26"/>
                <w:szCs w:val="26"/>
                <w:lang w:val="en-US"/>
              </w:rPr>
              <w:lastRenderedPageBreak/>
              <w:t>Quy định hiệu lực thi hành phù hợp với quy định tại Luật Tiêu chuẩn và Quy chuẩn kỹ thuật</w:t>
            </w:r>
          </w:p>
        </w:tc>
      </w:tr>
    </w:tbl>
    <w:p w14:paraId="5ED17816" w14:textId="4194224D" w:rsidR="00224896" w:rsidRPr="0052270F" w:rsidRDefault="00224896" w:rsidP="00B8241B">
      <w:pPr>
        <w:snapToGrid w:val="0"/>
        <w:spacing w:before="120" w:after="120" w:line="240" w:lineRule="auto"/>
        <w:jc w:val="both"/>
        <w:rPr>
          <w:bCs/>
          <w:color w:val="000000" w:themeColor="text1"/>
          <w:sz w:val="26"/>
          <w:szCs w:val="26"/>
          <w:lang w:val="en-US"/>
        </w:rPr>
      </w:pPr>
    </w:p>
    <w:sectPr w:rsidR="00224896" w:rsidRPr="0052270F" w:rsidSect="0000459B">
      <w:headerReference w:type="default" r:id="rId17"/>
      <w:pgSz w:w="16838" w:h="11906" w:orient="landscape"/>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DD490" w14:textId="77777777" w:rsidR="00613C2D" w:rsidRDefault="00613C2D" w:rsidP="007F2FDB">
      <w:pPr>
        <w:spacing w:after="0" w:line="240" w:lineRule="auto"/>
      </w:pPr>
      <w:r>
        <w:separator/>
      </w:r>
    </w:p>
  </w:endnote>
  <w:endnote w:type="continuationSeparator" w:id="0">
    <w:p w14:paraId="22E97246" w14:textId="77777777" w:rsidR="00613C2D" w:rsidRDefault="00613C2D" w:rsidP="007F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Arial">
    <w:charset w:val="00"/>
    <w:family w:val="swiss"/>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4E726" w14:textId="77777777" w:rsidR="00613C2D" w:rsidRDefault="00613C2D" w:rsidP="007F2FDB">
      <w:pPr>
        <w:spacing w:after="0" w:line="240" w:lineRule="auto"/>
      </w:pPr>
      <w:r>
        <w:separator/>
      </w:r>
    </w:p>
  </w:footnote>
  <w:footnote w:type="continuationSeparator" w:id="0">
    <w:p w14:paraId="743F0101" w14:textId="77777777" w:rsidR="00613C2D" w:rsidRDefault="00613C2D" w:rsidP="007F2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50724"/>
      <w:docPartObj>
        <w:docPartGallery w:val="Page Numbers (Top of Page)"/>
        <w:docPartUnique/>
      </w:docPartObj>
    </w:sdtPr>
    <w:sdtContent>
      <w:p w14:paraId="6F2CE87C" w14:textId="5D7FC231" w:rsidR="003A130A" w:rsidRDefault="003A130A">
        <w:pPr>
          <w:pStyle w:val="Header"/>
          <w:jc w:val="center"/>
        </w:pPr>
        <w:r>
          <w:fldChar w:fldCharType="begin"/>
        </w:r>
        <w:r>
          <w:instrText xml:space="preserve"> PAGE   \* MERGEFORMAT </w:instrText>
        </w:r>
        <w:r>
          <w:fldChar w:fldCharType="separate"/>
        </w:r>
        <w:r w:rsidR="006D518E">
          <w:rPr>
            <w:noProof/>
          </w:rPr>
          <w:t>77</w:t>
        </w:r>
        <w:r>
          <w:rPr>
            <w:noProof/>
          </w:rPr>
          <w:fldChar w:fldCharType="end"/>
        </w:r>
      </w:p>
    </w:sdtContent>
  </w:sdt>
  <w:p w14:paraId="28DFE21F" w14:textId="77777777" w:rsidR="003A130A" w:rsidRDefault="003A13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035F4"/>
    <w:multiLevelType w:val="multilevel"/>
    <w:tmpl w:val="08E035F4"/>
    <w:lvl w:ilvl="0">
      <w:start w:val="1"/>
      <w:numFmt w:val="bullet"/>
      <w:pStyle w:val="Stylevao-vArial12ptBlack"/>
      <w:lvlText w:val="–"/>
      <w:lvlJc w:val="left"/>
      <w:pPr>
        <w:tabs>
          <w:tab w:val="num" w:pos="644"/>
        </w:tabs>
        <w:ind w:left="624" w:hanging="340"/>
      </w:pPr>
      <w:rPr>
        <w:rFonts w:ascii="Arial" w:hAnsi="Aria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551026"/>
    <w:multiLevelType w:val="hybridMultilevel"/>
    <w:tmpl w:val="5764F730"/>
    <w:lvl w:ilvl="0" w:tplc="6046F0F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DDC1AAF"/>
    <w:multiLevelType w:val="hybridMultilevel"/>
    <w:tmpl w:val="CD9EC320"/>
    <w:lvl w:ilvl="0" w:tplc="43B4C6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7166D1"/>
    <w:multiLevelType w:val="hybridMultilevel"/>
    <w:tmpl w:val="3E243FD0"/>
    <w:lvl w:ilvl="0" w:tplc="A876477C">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 w15:restartNumberingAfterBreak="0">
    <w:nsid w:val="43E437AB"/>
    <w:multiLevelType w:val="hybridMultilevel"/>
    <w:tmpl w:val="28549B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60461D"/>
    <w:multiLevelType w:val="hybridMultilevel"/>
    <w:tmpl w:val="178464B0"/>
    <w:lvl w:ilvl="0" w:tplc="A876477C">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6DFA559A"/>
    <w:multiLevelType w:val="hybridMultilevel"/>
    <w:tmpl w:val="9EB2AA2E"/>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C1302B"/>
    <w:multiLevelType w:val="hybridMultilevel"/>
    <w:tmpl w:val="6194F064"/>
    <w:lvl w:ilvl="0" w:tplc="E18E88B0">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605AB"/>
    <w:multiLevelType w:val="hybridMultilevel"/>
    <w:tmpl w:val="206C47AA"/>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D66E1E"/>
    <w:multiLevelType w:val="hybridMultilevel"/>
    <w:tmpl w:val="80420434"/>
    <w:lvl w:ilvl="0" w:tplc="5FE430B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529921">
    <w:abstractNumId w:val="0"/>
  </w:num>
  <w:num w:numId="2" w16cid:durableId="918756002">
    <w:abstractNumId w:val="5"/>
  </w:num>
  <w:num w:numId="3" w16cid:durableId="1042705488">
    <w:abstractNumId w:val="2"/>
  </w:num>
  <w:num w:numId="4" w16cid:durableId="1567496195">
    <w:abstractNumId w:val="3"/>
  </w:num>
  <w:num w:numId="5" w16cid:durableId="981740525">
    <w:abstractNumId w:val="7"/>
  </w:num>
  <w:num w:numId="6" w16cid:durableId="1908416818">
    <w:abstractNumId w:val="4"/>
  </w:num>
  <w:num w:numId="7" w16cid:durableId="1121999401">
    <w:abstractNumId w:val="6"/>
  </w:num>
  <w:num w:numId="8" w16cid:durableId="1437863768">
    <w:abstractNumId w:val="8"/>
  </w:num>
  <w:num w:numId="9" w16cid:durableId="261498457">
    <w:abstractNumId w:val="1"/>
  </w:num>
  <w:num w:numId="10" w16cid:durableId="11776954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02"/>
    <w:rsid w:val="00001722"/>
    <w:rsid w:val="000041A2"/>
    <w:rsid w:val="0000459B"/>
    <w:rsid w:val="00006190"/>
    <w:rsid w:val="00010626"/>
    <w:rsid w:val="0001080E"/>
    <w:rsid w:val="00011717"/>
    <w:rsid w:val="000125A1"/>
    <w:rsid w:val="00014CC3"/>
    <w:rsid w:val="00020326"/>
    <w:rsid w:val="00020D44"/>
    <w:rsid w:val="00021B15"/>
    <w:rsid w:val="00022E18"/>
    <w:rsid w:val="00023BDA"/>
    <w:rsid w:val="00024548"/>
    <w:rsid w:val="00024F1B"/>
    <w:rsid w:val="0002530E"/>
    <w:rsid w:val="00025A4E"/>
    <w:rsid w:val="000276DE"/>
    <w:rsid w:val="00041642"/>
    <w:rsid w:val="000435C0"/>
    <w:rsid w:val="00043C78"/>
    <w:rsid w:val="00047158"/>
    <w:rsid w:val="00047C2E"/>
    <w:rsid w:val="00050D16"/>
    <w:rsid w:val="00054DF1"/>
    <w:rsid w:val="00061899"/>
    <w:rsid w:val="00062CC5"/>
    <w:rsid w:val="00064A5D"/>
    <w:rsid w:val="00066977"/>
    <w:rsid w:val="00067381"/>
    <w:rsid w:val="0007287D"/>
    <w:rsid w:val="00073323"/>
    <w:rsid w:val="000749B1"/>
    <w:rsid w:val="000768B6"/>
    <w:rsid w:val="00076BBB"/>
    <w:rsid w:val="0007768C"/>
    <w:rsid w:val="000825EC"/>
    <w:rsid w:val="00083F2D"/>
    <w:rsid w:val="00085F23"/>
    <w:rsid w:val="00087671"/>
    <w:rsid w:val="00087C87"/>
    <w:rsid w:val="000912B1"/>
    <w:rsid w:val="0009723B"/>
    <w:rsid w:val="000A0D4D"/>
    <w:rsid w:val="000A3514"/>
    <w:rsid w:val="000A3A28"/>
    <w:rsid w:val="000A6A69"/>
    <w:rsid w:val="000A7BCD"/>
    <w:rsid w:val="000B0086"/>
    <w:rsid w:val="000B0D4B"/>
    <w:rsid w:val="000B1B57"/>
    <w:rsid w:val="000B334F"/>
    <w:rsid w:val="000B4054"/>
    <w:rsid w:val="000B63F7"/>
    <w:rsid w:val="000B786E"/>
    <w:rsid w:val="000C018E"/>
    <w:rsid w:val="000C3F51"/>
    <w:rsid w:val="000C6DA6"/>
    <w:rsid w:val="000C771D"/>
    <w:rsid w:val="000C7D69"/>
    <w:rsid w:val="000D02DD"/>
    <w:rsid w:val="000D35A2"/>
    <w:rsid w:val="000D48FB"/>
    <w:rsid w:val="000D5811"/>
    <w:rsid w:val="000D6056"/>
    <w:rsid w:val="000E0B10"/>
    <w:rsid w:val="000E0D60"/>
    <w:rsid w:val="000E1945"/>
    <w:rsid w:val="000E34D1"/>
    <w:rsid w:val="000E3F5F"/>
    <w:rsid w:val="000E7DFD"/>
    <w:rsid w:val="000F000C"/>
    <w:rsid w:val="000F0612"/>
    <w:rsid w:val="000F41A6"/>
    <w:rsid w:val="000F645E"/>
    <w:rsid w:val="000F6E3A"/>
    <w:rsid w:val="001008B5"/>
    <w:rsid w:val="00101CA7"/>
    <w:rsid w:val="00102B7A"/>
    <w:rsid w:val="001032DE"/>
    <w:rsid w:val="00105DBD"/>
    <w:rsid w:val="00105F27"/>
    <w:rsid w:val="00106B06"/>
    <w:rsid w:val="00110FDE"/>
    <w:rsid w:val="00121F92"/>
    <w:rsid w:val="00122BB2"/>
    <w:rsid w:val="00123232"/>
    <w:rsid w:val="00124386"/>
    <w:rsid w:val="00126010"/>
    <w:rsid w:val="00127AE1"/>
    <w:rsid w:val="001302E8"/>
    <w:rsid w:val="001309BD"/>
    <w:rsid w:val="00130E2D"/>
    <w:rsid w:val="00130ECD"/>
    <w:rsid w:val="001314A2"/>
    <w:rsid w:val="00132CAC"/>
    <w:rsid w:val="00133996"/>
    <w:rsid w:val="00134448"/>
    <w:rsid w:val="001359CA"/>
    <w:rsid w:val="00137277"/>
    <w:rsid w:val="001410E5"/>
    <w:rsid w:val="001413A8"/>
    <w:rsid w:val="001416E5"/>
    <w:rsid w:val="00141A0A"/>
    <w:rsid w:val="00143A8B"/>
    <w:rsid w:val="00145286"/>
    <w:rsid w:val="00145B65"/>
    <w:rsid w:val="001479BB"/>
    <w:rsid w:val="00150AC1"/>
    <w:rsid w:val="00153C2C"/>
    <w:rsid w:val="0016223C"/>
    <w:rsid w:val="001628BB"/>
    <w:rsid w:val="00164E45"/>
    <w:rsid w:val="0016546B"/>
    <w:rsid w:val="001654B9"/>
    <w:rsid w:val="00167864"/>
    <w:rsid w:val="00167F83"/>
    <w:rsid w:val="001702C2"/>
    <w:rsid w:val="00174508"/>
    <w:rsid w:val="00174F0B"/>
    <w:rsid w:val="001751BB"/>
    <w:rsid w:val="0017612F"/>
    <w:rsid w:val="00176C31"/>
    <w:rsid w:val="001771C2"/>
    <w:rsid w:val="00177CFA"/>
    <w:rsid w:val="00181A6D"/>
    <w:rsid w:val="00182FCC"/>
    <w:rsid w:val="00183108"/>
    <w:rsid w:val="00184BAB"/>
    <w:rsid w:val="001855B4"/>
    <w:rsid w:val="0018577B"/>
    <w:rsid w:val="0019124C"/>
    <w:rsid w:val="00191E67"/>
    <w:rsid w:val="00191E68"/>
    <w:rsid w:val="00194FC9"/>
    <w:rsid w:val="001975B7"/>
    <w:rsid w:val="001A002C"/>
    <w:rsid w:val="001A1858"/>
    <w:rsid w:val="001A29D0"/>
    <w:rsid w:val="001A2D5C"/>
    <w:rsid w:val="001A35B5"/>
    <w:rsid w:val="001A657C"/>
    <w:rsid w:val="001B720D"/>
    <w:rsid w:val="001B782A"/>
    <w:rsid w:val="001C3BAA"/>
    <w:rsid w:val="001C5281"/>
    <w:rsid w:val="001D0521"/>
    <w:rsid w:val="001D0CB8"/>
    <w:rsid w:val="001D1BF6"/>
    <w:rsid w:val="001D27CA"/>
    <w:rsid w:val="001D526F"/>
    <w:rsid w:val="001D55F3"/>
    <w:rsid w:val="001D577A"/>
    <w:rsid w:val="001E003F"/>
    <w:rsid w:val="001E3356"/>
    <w:rsid w:val="001E341B"/>
    <w:rsid w:val="001E68F8"/>
    <w:rsid w:val="001E7367"/>
    <w:rsid w:val="001E7647"/>
    <w:rsid w:val="001F05A4"/>
    <w:rsid w:val="002020C3"/>
    <w:rsid w:val="00203595"/>
    <w:rsid w:val="002059BE"/>
    <w:rsid w:val="00206F51"/>
    <w:rsid w:val="00210285"/>
    <w:rsid w:val="002112C3"/>
    <w:rsid w:val="002115D3"/>
    <w:rsid w:val="00212086"/>
    <w:rsid w:val="00212356"/>
    <w:rsid w:val="002127C3"/>
    <w:rsid w:val="0021312E"/>
    <w:rsid w:val="002131B7"/>
    <w:rsid w:val="00215024"/>
    <w:rsid w:val="00215B9C"/>
    <w:rsid w:val="0022167F"/>
    <w:rsid w:val="00224896"/>
    <w:rsid w:val="00225289"/>
    <w:rsid w:val="00225C1F"/>
    <w:rsid w:val="00233426"/>
    <w:rsid w:val="002348C9"/>
    <w:rsid w:val="00234FFE"/>
    <w:rsid w:val="00240288"/>
    <w:rsid w:val="00240DD8"/>
    <w:rsid w:val="002422A4"/>
    <w:rsid w:val="0024244D"/>
    <w:rsid w:val="00242B3B"/>
    <w:rsid w:val="00243306"/>
    <w:rsid w:val="00244D88"/>
    <w:rsid w:val="00246591"/>
    <w:rsid w:val="00246C65"/>
    <w:rsid w:val="002477B1"/>
    <w:rsid w:val="00247B87"/>
    <w:rsid w:val="00252090"/>
    <w:rsid w:val="00253382"/>
    <w:rsid w:val="002537E0"/>
    <w:rsid w:val="00253DDE"/>
    <w:rsid w:val="002541EF"/>
    <w:rsid w:val="0025547D"/>
    <w:rsid w:val="0025609F"/>
    <w:rsid w:val="00257047"/>
    <w:rsid w:val="002579B5"/>
    <w:rsid w:val="00257DB7"/>
    <w:rsid w:val="00261BE7"/>
    <w:rsid w:val="00262733"/>
    <w:rsid w:val="00262FB1"/>
    <w:rsid w:val="002639A8"/>
    <w:rsid w:val="00264AFF"/>
    <w:rsid w:val="00265191"/>
    <w:rsid w:val="00270524"/>
    <w:rsid w:val="002708C8"/>
    <w:rsid w:val="00270FE1"/>
    <w:rsid w:val="00274DB6"/>
    <w:rsid w:val="0027590A"/>
    <w:rsid w:val="00275F03"/>
    <w:rsid w:val="00290556"/>
    <w:rsid w:val="00292424"/>
    <w:rsid w:val="00293494"/>
    <w:rsid w:val="00293C5E"/>
    <w:rsid w:val="002943D8"/>
    <w:rsid w:val="00294517"/>
    <w:rsid w:val="002A487B"/>
    <w:rsid w:val="002A5476"/>
    <w:rsid w:val="002A5BE8"/>
    <w:rsid w:val="002A5DF7"/>
    <w:rsid w:val="002A7388"/>
    <w:rsid w:val="002A7819"/>
    <w:rsid w:val="002B4131"/>
    <w:rsid w:val="002B4F8F"/>
    <w:rsid w:val="002B6B21"/>
    <w:rsid w:val="002B6D26"/>
    <w:rsid w:val="002C1FC5"/>
    <w:rsid w:val="002C2A2C"/>
    <w:rsid w:val="002C3D7E"/>
    <w:rsid w:val="002C5A94"/>
    <w:rsid w:val="002C6A7A"/>
    <w:rsid w:val="002C6C60"/>
    <w:rsid w:val="002D2E39"/>
    <w:rsid w:val="002D6367"/>
    <w:rsid w:val="002D710A"/>
    <w:rsid w:val="002D7B5A"/>
    <w:rsid w:val="002E1FE9"/>
    <w:rsid w:val="002E2FE9"/>
    <w:rsid w:val="002E3C47"/>
    <w:rsid w:val="002E5261"/>
    <w:rsid w:val="002E7AE7"/>
    <w:rsid w:val="002F1EC3"/>
    <w:rsid w:val="002F2D66"/>
    <w:rsid w:val="002F2F2C"/>
    <w:rsid w:val="002F4215"/>
    <w:rsid w:val="002F5C46"/>
    <w:rsid w:val="00300326"/>
    <w:rsid w:val="00303898"/>
    <w:rsid w:val="00303D6B"/>
    <w:rsid w:val="003062F0"/>
    <w:rsid w:val="0031077A"/>
    <w:rsid w:val="00311408"/>
    <w:rsid w:val="00312778"/>
    <w:rsid w:val="003134D0"/>
    <w:rsid w:val="0031717F"/>
    <w:rsid w:val="003174E9"/>
    <w:rsid w:val="003177A6"/>
    <w:rsid w:val="00321A45"/>
    <w:rsid w:val="003229C4"/>
    <w:rsid w:val="0032327F"/>
    <w:rsid w:val="00323BBA"/>
    <w:rsid w:val="003247AB"/>
    <w:rsid w:val="00326D49"/>
    <w:rsid w:val="00327DA5"/>
    <w:rsid w:val="00327FF1"/>
    <w:rsid w:val="00332E46"/>
    <w:rsid w:val="003332BF"/>
    <w:rsid w:val="00334D99"/>
    <w:rsid w:val="00335408"/>
    <w:rsid w:val="003375CE"/>
    <w:rsid w:val="00340053"/>
    <w:rsid w:val="003405F6"/>
    <w:rsid w:val="0034114D"/>
    <w:rsid w:val="00341342"/>
    <w:rsid w:val="00342D85"/>
    <w:rsid w:val="00343F78"/>
    <w:rsid w:val="00346489"/>
    <w:rsid w:val="00351985"/>
    <w:rsid w:val="00352BBA"/>
    <w:rsid w:val="00352DA6"/>
    <w:rsid w:val="003539A6"/>
    <w:rsid w:val="003561FF"/>
    <w:rsid w:val="00357265"/>
    <w:rsid w:val="003579BE"/>
    <w:rsid w:val="00360303"/>
    <w:rsid w:val="003629AC"/>
    <w:rsid w:val="00363A3B"/>
    <w:rsid w:val="0036423D"/>
    <w:rsid w:val="00365089"/>
    <w:rsid w:val="00384571"/>
    <w:rsid w:val="003853E6"/>
    <w:rsid w:val="00386F00"/>
    <w:rsid w:val="00387A93"/>
    <w:rsid w:val="0039144D"/>
    <w:rsid w:val="003A130A"/>
    <w:rsid w:val="003A26A7"/>
    <w:rsid w:val="003A3D35"/>
    <w:rsid w:val="003A5664"/>
    <w:rsid w:val="003A5C34"/>
    <w:rsid w:val="003A6BA8"/>
    <w:rsid w:val="003A732F"/>
    <w:rsid w:val="003A7FF8"/>
    <w:rsid w:val="003B35DD"/>
    <w:rsid w:val="003B530C"/>
    <w:rsid w:val="003B54CD"/>
    <w:rsid w:val="003C058B"/>
    <w:rsid w:val="003C1F84"/>
    <w:rsid w:val="003C4C83"/>
    <w:rsid w:val="003C4CC3"/>
    <w:rsid w:val="003C6C5F"/>
    <w:rsid w:val="003C70FF"/>
    <w:rsid w:val="003D0FE4"/>
    <w:rsid w:val="003D1DCF"/>
    <w:rsid w:val="003D3269"/>
    <w:rsid w:val="003D3EFB"/>
    <w:rsid w:val="003D459A"/>
    <w:rsid w:val="003E001C"/>
    <w:rsid w:val="003E1FC0"/>
    <w:rsid w:val="003F07C2"/>
    <w:rsid w:val="003F0CB0"/>
    <w:rsid w:val="003F2089"/>
    <w:rsid w:val="003F4F8F"/>
    <w:rsid w:val="003F6A7C"/>
    <w:rsid w:val="004012F2"/>
    <w:rsid w:val="00401FD5"/>
    <w:rsid w:val="0040222E"/>
    <w:rsid w:val="0040321A"/>
    <w:rsid w:val="0040473B"/>
    <w:rsid w:val="00411A38"/>
    <w:rsid w:val="00412913"/>
    <w:rsid w:val="00420904"/>
    <w:rsid w:val="0042090F"/>
    <w:rsid w:val="00420D72"/>
    <w:rsid w:val="0042311B"/>
    <w:rsid w:val="0042700C"/>
    <w:rsid w:val="004304B4"/>
    <w:rsid w:val="00431054"/>
    <w:rsid w:val="004322D6"/>
    <w:rsid w:val="00434BD7"/>
    <w:rsid w:val="004350FB"/>
    <w:rsid w:val="00435A73"/>
    <w:rsid w:val="00441062"/>
    <w:rsid w:val="0044335E"/>
    <w:rsid w:val="004460ED"/>
    <w:rsid w:val="004512FC"/>
    <w:rsid w:val="00451F24"/>
    <w:rsid w:val="00452D19"/>
    <w:rsid w:val="00454B67"/>
    <w:rsid w:val="00461A09"/>
    <w:rsid w:val="00461B82"/>
    <w:rsid w:val="0046255A"/>
    <w:rsid w:val="00462B14"/>
    <w:rsid w:val="00466B15"/>
    <w:rsid w:val="00467404"/>
    <w:rsid w:val="00467E58"/>
    <w:rsid w:val="00470265"/>
    <w:rsid w:val="00470F7D"/>
    <w:rsid w:val="004716E0"/>
    <w:rsid w:val="00472231"/>
    <w:rsid w:val="004746A8"/>
    <w:rsid w:val="00475897"/>
    <w:rsid w:val="00476A88"/>
    <w:rsid w:val="00480712"/>
    <w:rsid w:val="004807F5"/>
    <w:rsid w:val="00480DDC"/>
    <w:rsid w:val="004816E7"/>
    <w:rsid w:val="00481C84"/>
    <w:rsid w:val="0048213C"/>
    <w:rsid w:val="00482D57"/>
    <w:rsid w:val="004869FB"/>
    <w:rsid w:val="00486D96"/>
    <w:rsid w:val="00487A5A"/>
    <w:rsid w:val="00490117"/>
    <w:rsid w:val="004912EB"/>
    <w:rsid w:val="0049254F"/>
    <w:rsid w:val="0049289F"/>
    <w:rsid w:val="0049315F"/>
    <w:rsid w:val="004932AB"/>
    <w:rsid w:val="004945F1"/>
    <w:rsid w:val="004949B7"/>
    <w:rsid w:val="004A1887"/>
    <w:rsid w:val="004A2BD9"/>
    <w:rsid w:val="004A7820"/>
    <w:rsid w:val="004B1441"/>
    <w:rsid w:val="004B6D6F"/>
    <w:rsid w:val="004B6D96"/>
    <w:rsid w:val="004C0E63"/>
    <w:rsid w:val="004C222F"/>
    <w:rsid w:val="004C300F"/>
    <w:rsid w:val="004C3BF9"/>
    <w:rsid w:val="004C3E74"/>
    <w:rsid w:val="004C488A"/>
    <w:rsid w:val="004C5A1B"/>
    <w:rsid w:val="004C5F33"/>
    <w:rsid w:val="004C72A6"/>
    <w:rsid w:val="004D008B"/>
    <w:rsid w:val="004D1E2E"/>
    <w:rsid w:val="004D30A0"/>
    <w:rsid w:val="004D3932"/>
    <w:rsid w:val="004E24B1"/>
    <w:rsid w:val="004E26B4"/>
    <w:rsid w:val="004E2D94"/>
    <w:rsid w:val="004E3243"/>
    <w:rsid w:val="004E4BB8"/>
    <w:rsid w:val="004E5E2E"/>
    <w:rsid w:val="004E67FB"/>
    <w:rsid w:val="004E6FD1"/>
    <w:rsid w:val="004F0897"/>
    <w:rsid w:val="004F1627"/>
    <w:rsid w:val="004F209D"/>
    <w:rsid w:val="004F2747"/>
    <w:rsid w:val="004F430C"/>
    <w:rsid w:val="004F6702"/>
    <w:rsid w:val="004F7033"/>
    <w:rsid w:val="00501692"/>
    <w:rsid w:val="00503393"/>
    <w:rsid w:val="005063C3"/>
    <w:rsid w:val="005102A6"/>
    <w:rsid w:val="00511689"/>
    <w:rsid w:val="00515145"/>
    <w:rsid w:val="0052039A"/>
    <w:rsid w:val="00521F07"/>
    <w:rsid w:val="00521F8E"/>
    <w:rsid w:val="0052270F"/>
    <w:rsid w:val="00522AE8"/>
    <w:rsid w:val="005305BD"/>
    <w:rsid w:val="00531412"/>
    <w:rsid w:val="00533584"/>
    <w:rsid w:val="0053463F"/>
    <w:rsid w:val="00536D19"/>
    <w:rsid w:val="00537D4D"/>
    <w:rsid w:val="00540A7E"/>
    <w:rsid w:val="00541302"/>
    <w:rsid w:val="0054303E"/>
    <w:rsid w:val="00545EFD"/>
    <w:rsid w:val="00546141"/>
    <w:rsid w:val="00550F52"/>
    <w:rsid w:val="0055221C"/>
    <w:rsid w:val="00552D8B"/>
    <w:rsid w:val="00552E95"/>
    <w:rsid w:val="005558FA"/>
    <w:rsid w:val="0055657E"/>
    <w:rsid w:val="005578A8"/>
    <w:rsid w:val="005603BC"/>
    <w:rsid w:val="00561025"/>
    <w:rsid w:val="00561D65"/>
    <w:rsid w:val="00562FA1"/>
    <w:rsid w:val="00563050"/>
    <w:rsid w:val="00565A50"/>
    <w:rsid w:val="00566022"/>
    <w:rsid w:val="005667C5"/>
    <w:rsid w:val="0057094A"/>
    <w:rsid w:val="00571A1F"/>
    <w:rsid w:val="005721C1"/>
    <w:rsid w:val="00574510"/>
    <w:rsid w:val="00575987"/>
    <w:rsid w:val="00575D8D"/>
    <w:rsid w:val="00575F01"/>
    <w:rsid w:val="00577F0F"/>
    <w:rsid w:val="0058048F"/>
    <w:rsid w:val="005817EF"/>
    <w:rsid w:val="00582224"/>
    <w:rsid w:val="005866AC"/>
    <w:rsid w:val="00587687"/>
    <w:rsid w:val="0059003D"/>
    <w:rsid w:val="005911D3"/>
    <w:rsid w:val="0059135A"/>
    <w:rsid w:val="00593635"/>
    <w:rsid w:val="005946B4"/>
    <w:rsid w:val="00597851"/>
    <w:rsid w:val="005A0BEB"/>
    <w:rsid w:val="005A3ED0"/>
    <w:rsid w:val="005A6188"/>
    <w:rsid w:val="005A7989"/>
    <w:rsid w:val="005A7E63"/>
    <w:rsid w:val="005A7FC5"/>
    <w:rsid w:val="005B0046"/>
    <w:rsid w:val="005B138E"/>
    <w:rsid w:val="005B1498"/>
    <w:rsid w:val="005B163E"/>
    <w:rsid w:val="005B25E6"/>
    <w:rsid w:val="005B6052"/>
    <w:rsid w:val="005C1D94"/>
    <w:rsid w:val="005C28A8"/>
    <w:rsid w:val="005C4262"/>
    <w:rsid w:val="005C5A42"/>
    <w:rsid w:val="005C6183"/>
    <w:rsid w:val="005D3331"/>
    <w:rsid w:val="005D5D2A"/>
    <w:rsid w:val="005D6D02"/>
    <w:rsid w:val="005E1AE8"/>
    <w:rsid w:val="005E2C2D"/>
    <w:rsid w:val="005E77FE"/>
    <w:rsid w:val="005E7E2B"/>
    <w:rsid w:val="005F1B7F"/>
    <w:rsid w:val="005F1CF7"/>
    <w:rsid w:val="005F2248"/>
    <w:rsid w:val="005F3DAD"/>
    <w:rsid w:val="005F5039"/>
    <w:rsid w:val="005F592C"/>
    <w:rsid w:val="005F5D9A"/>
    <w:rsid w:val="005F68EF"/>
    <w:rsid w:val="005F6FEE"/>
    <w:rsid w:val="005F7544"/>
    <w:rsid w:val="00601420"/>
    <w:rsid w:val="00602E32"/>
    <w:rsid w:val="00604D55"/>
    <w:rsid w:val="00606028"/>
    <w:rsid w:val="006066F3"/>
    <w:rsid w:val="00607CFA"/>
    <w:rsid w:val="00610821"/>
    <w:rsid w:val="00613C2D"/>
    <w:rsid w:val="00613CBE"/>
    <w:rsid w:val="00614BDB"/>
    <w:rsid w:val="00614C0A"/>
    <w:rsid w:val="006219A4"/>
    <w:rsid w:val="00621AEF"/>
    <w:rsid w:val="00621BC9"/>
    <w:rsid w:val="00622C00"/>
    <w:rsid w:val="00623736"/>
    <w:rsid w:val="00624751"/>
    <w:rsid w:val="00631828"/>
    <w:rsid w:val="00634768"/>
    <w:rsid w:val="006354AB"/>
    <w:rsid w:val="00637018"/>
    <w:rsid w:val="0064150A"/>
    <w:rsid w:val="0064163B"/>
    <w:rsid w:val="00644570"/>
    <w:rsid w:val="00645C5C"/>
    <w:rsid w:val="00645FDE"/>
    <w:rsid w:val="00646224"/>
    <w:rsid w:val="00646E50"/>
    <w:rsid w:val="0064753F"/>
    <w:rsid w:val="006500D4"/>
    <w:rsid w:val="00650511"/>
    <w:rsid w:val="00651049"/>
    <w:rsid w:val="00651BD7"/>
    <w:rsid w:val="00652A22"/>
    <w:rsid w:val="00653885"/>
    <w:rsid w:val="00657A8F"/>
    <w:rsid w:val="0066107B"/>
    <w:rsid w:val="00661E08"/>
    <w:rsid w:val="006625D6"/>
    <w:rsid w:val="00662E16"/>
    <w:rsid w:val="00663972"/>
    <w:rsid w:val="00664FBD"/>
    <w:rsid w:val="00665A31"/>
    <w:rsid w:val="00667082"/>
    <w:rsid w:val="006719EF"/>
    <w:rsid w:val="0067275B"/>
    <w:rsid w:val="006746BE"/>
    <w:rsid w:val="00674EC4"/>
    <w:rsid w:val="00675023"/>
    <w:rsid w:val="00676404"/>
    <w:rsid w:val="0067694B"/>
    <w:rsid w:val="00676DF2"/>
    <w:rsid w:val="00677CB3"/>
    <w:rsid w:val="00683716"/>
    <w:rsid w:val="00684691"/>
    <w:rsid w:val="0068559B"/>
    <w:rsid w:val="006856E6"/>
    <w:rsid w:val="00685BA4"/>
    <w:rsid w:val="00687B60"/>
    <w:rsid w:val="00690593"/>
    <w:rsid w:val="00690BF9"/>
    <w:rsid w:val="006915B4"/>
    <w:rsid w:val="0069668B"/>
    <w:rsid w:val="006A0600"/>
    <w:rsid w:val="006A1398"/>
    <w:rsid w:val="006A14D4"/>
    <w:rsid w:val="006A60E1"/>
    <w:rsid w:val="006A7D70"/>
    <w:rsid w:val="006B0A4B"/>
    <w:rsid w:val="006B0D9E"/>
    <w:rsid w:val="006B230B"/>
    <w:rsid w:val="006B3979"/>
    <w:rsid w:val="006B40AA"/>
    <w:rsid w:val="006B67A6"/>
    <w:rsid w:val="006B7F03"/>
    <w:rsid w:val="006C0267"/>
    <w:rsid w:val="006C1C4F"/>
    <w:rsid w:val="006C3937"/>
    <w:rsid w:val="006D3627"/>
    <w:rsid w:val="006D4F3A"/>
    <w:rsid w:val="006D518E"/>
    <w:rsid w:val="006D763C"/>
    <w:rsid w:val="006D7CE6"/>
    <w:rsid w:val="006E0056"/>
    <w:rsid w:val="006E04A7"/>
    <w:rsid w:val="006E23A7"/>
    <w:rsid w:val="006E26F0"/>
    <w:rsid w:val="006E2AE0"/>
    <w:rsid w:val="006E30E0"/>
    <w:rsid w:val="006E328D"/>
    <w:rsid w:val="006E511B"/>
    <w:rsid w:val="006F2102"/>
    <w:rsid w:val="006F4F51"/>
    <w:rsid w:val="006F5A52"/>
    <w:rsid w:val="006F5B9B"/>
    <w:rsid w:val="006F7215"/>
    <w:rsid w:val="00702ACA"/>
    <w:rsid w:val="00711312"/>
    <w:rsid w:val="00711625"/>
    <w:rsid w:val="0071245D"/>
    <w:rsid w:val="007136BD"/>
    <w:rsid w:val="0071409C"/>
    <w:rsid w:val="0071493D"/>
    <w:rsid w:val="00714D9F"/>
    <w:rsid w:val="007169BB"/>
    <w:rsid w:val="00717765"/>
    <w:rsid w:val="00717EDF"/>
    <w:rsid w:val="007207A6"/>
    <w:rsid w:val="00720959"/>
    <w:rsid w:val="0072239C"/>
    <w:rsid w:val="00722F53"/>
    <w:rsid w:val="00723A93"/>
    <w:rsid w:val="00725086"/>
    <w:rsid w:val="00725937"/>
    <w:rsid w:val="00725AE9"/>
    <w:rsid w:val="00725F70"/>
    <w:rsid w:val="0073056C"/>
    <w:rsid w:val="007319AE"/>
    <w:rsid w:val="00731D25"/>
    <w:rsid w:val="00732A05"/>
    <w:rsid w:val="00732B98"/>
    <w:rsid w:val="00732F6D"/>
    <w:rsid w:val="007339E5"/>
    <w:rsid w:val="00740EA7"/>
    <w:rsid w:val="00743FE4"/>
    <w:rsid w:val="007505BC"/>
    <w:rsid w:val="007530C6"/>
    <w:rsid w:val="00755493"/>
    <w:rsid w:val="00757DBD"/>
    <w:rsid w:val="00760299"/>
    <w:rsid w:val="00763B03"/>
    <w:rsid w:val="00764FC3"/>
    <w:rsid w:val="00766CA8"/>
    <w:rsid w:val="00767A48"/>
    <w:rsid w:val="00767D17"/>
    <w:rsid w:val="00770A08"/>
    <w:rsid w:val="00770F56"/>
    <w:rsid w:val="0077446C"/>
    <w:rsid w:val="007761DF"/>
    <w:rsid w:val="00777CB6"/>
    <w:rsid w:val="0078115C"/>
    <w:rsid w:val="00782114"/>
    <w:rsid w:val="007821C7"/>
    <w:rsid w:val="00782B16"/>
    <w:rsid w:val="00783CE9"/>
    <w:rsid w:val="0078529E"/>
    <w:rsid w:val="00786F42"/>
    <w:rsid w:val="00792716"/>
    <w:rsid w:val="00796136"/>
    <w:rsid w:val="007A027F"/>
    <w:rsid w:val="007A3164"/>
    <w:rsid w:val="007A485D"/>
    <w:rsid w:val="007A7022"/>
    <w:rsid w:val="007B02C1"/>
    <w:rsid w:val="007B104D"/>
    <w:rsid w:val="007B14CE"/>
    <w:rsid w:val="007B179B"/>
    <w:rsid w:val="007B17A4"/>
    <w:rsid w:val="007B45CC"/>
    <w:rsid w:val="007B5D13"/>
    <w:rsid w:val="007B6851"/>
    <w:rsid w:val="007B6D8B"/>
    <w:rsid w:val="007C2053"/>
    <w:rsid w:val="007C485A"/>
    <w:rsid w:val="007C537C"/>
    <w:rsid w:val="007C5A44"/>
    <w:rsid w:val="007C7893"/>
    <w:rsid w:val="007D0866"/>
    <w:rsid w:val="007D1158"/>
    <w:rsid w:val="007D3DF6"/>
    <w:rsid w:val="007D5950"/>
    <w:rsid w:val="007D5A16"/>
    <w:rsid w:val="007D6106"/>
    <w:rsid w:val="007D6E9A"/>
    <w:rsid w:val="007E578F"/>
    <w:rsid w:val="007E58B3"/>
    <w:rsid w:val="007E5CEB"/>
    <w:rsid w:val="007E7E73"/>
    <w:rsid w:val="007F04DE"/>
    <w:rsid w:val="007F06D6"/>
    <w:rsid w:val="007F28B1"/>
    <w:rsid w:val="007F2FDB"/>
    <w:rsid w:val="007F45E3"/>
    <w:rsid w:val="007F7787"/>
    <w:rsid w:val="0080009A"/>
    <w:rsid w:val="008004F0"/>
    <w:rsid w:val="008016B7"/>
    <w:rsid w:val="0080292F"/>
    <w:rsid w:val="0080296D"/>
    <w:rsid w:val="0080306A"/>
    <w:rsid w:val="0080507D"/>
    <w:rsid w:val="0081155D"/>
    <w:rsid w:val="00811800"/>
    <w:rsid w:val="008133FC"/>
    <w:rsid w:val="0081394C"/>
    <w:rsid w:val="00813DB4"/>
    <w:rsid w:val="00816065"/>
    <w:rsid w:val="008213B3"/>
    <w:rsid w:val="00824F13"/>
    <w:rsid w:val="008250DE"/>
    <w:rsid w:val="00827CF4"/>
    <w:rsid w:val="00830C73"/>
    <w:rsid w:val="00831C3F"/>
    <w:rsid w:val="0083219A"/>
    <w:rsid w:val="0083364B"/>
    <w:rsid w:val="00835242"/>
    <w:rsid w:val="00835926"/>
    <w:rsid w:val="00842199"/>
    <w:rsid w:val="00842B26"/>
    <w:rsid w:val="00844C1D"/>
    <w:rsid w:val="00845737"/>
    <w:rsid w:val="00845892"/>
    <w:rsid w:val="00847E9A"/>
    <w:rsid w:val="00847EE7"/>
    <w:rsid w:val="008524B7"/>
    <w:rsid w:val="00853B2F"/>
    <w:rsid w:val="00854151"/>
    <w:rsid w:val="00857BBF"/>
    <w:rsid w:val="00857D44"/>
    <w:rsid w:val="0086238A"/>
    <w:rsid w:val="00862704"/>
    <w:rsid w:val="008627F3"/>
    <w:rsid w:val="00862B1F"/>
    <w:rsid w:val="008648C6"/>
    <w:rsid w:val="0086695B"/>
    <w:rsid w:val="00867E79"/>
    <w:rsid w:val="008712FD"/>
    <w:rsid w:val="00871521"/>
    <w:rsid w:val="00873802"/>
    <w:rsid w:val="00876113"/>
    <w:rsid w:val="008764EC"/>
    <w:rsid w:val="00880922"/>
    <w:rsid w:val="00885F17"/>
    <w:rsid w:val="008869B0"/>
    <w:rsid w:val="00887729"/>
    <w:rsid w:val="0089354D"/>
    <w:rsid w:val="008959D2"/>
    <w:rsid w:val="00895B16"/>
    <w:rsid w:val="008A2820"/>
    <w:rsid w:val="008A3910"/>
    <w:rsid w:val="008A459A"/>
    <w:rsid w:val="008A4AC0"/>
    <w:rsid w:val="008A5B47"/>
    <w:rsid w:val="008A6B42"/>
    <w:rsid w:val="008B62C2"/>
    <w:rsid w:val="008C1508"/>
    <w:rsid w:val="008D1A91"/>
    <w:rsid w:val="008D2CDC"/>
    <w:rsid w:val="008D30B4"/>
    <w:rsid w:val="008D394C"/>
    <w:rsid w:val="008D6E74"/>
    <w:rsid w:val="008E2853"/>
    <w:rsid w:val="008E2F2E"/>
    <w:rsid w:val="008E5D6B"/>
    <w:rsid w:val="008E624F"/>
    <w:rsid w:val="008F0A44"/>
    <w:rsid w:val="008F0FBA"/>
    <w:rsid w:val="008F16F3"/>
    <w:rsid w:val="008F3250"/>
    <w:rsid w:val="008F528B"/>
    <w:rsid w:val="008F785B"/>
    <w:rsid w:val="008F7E9F"/>
    <w:rsid w:val="0090342B"/>
    <w:rsid w:val="00903B1A"/>
    <w:rsid w:val="00903E98"/>
    <w:rsid w:val="00904120"/>
    <w:rsid w:val="00905ED3"/>
    <w:rsid w:val="00907E67"/>
    <w:rsid w:val="00911A64"/>
    <w:rsid w:val="0091364A"/>
    <w:rsid w:val="009162FB"/>
    <w:rsid w:val="00916F34"/>
    <w:rsid w:val="009208FB"/>
    <w:rsid w:val="00922CB6"/>
    <w:rsid w:val="00924E7D"/>
    <w:rsid w:val="00926827"/>
    <w:rsid w:val="00926A8C"/>
    <w:rsid w:val="00927563"/>
    <w:rsid w:val="009315FC"/>
    <w:rsid w:val="00934AC4"/>
    <w:rsid w:val="00934E9C"/>
    <w:rsid w:val="009356E8"/>
    <w:rsid w:val="009375A0"/>
    <w:rsid w:val="009430B6"/>
    <w:rsid w:val="0094314F"/>
    <w:rsid w:val="00943BD6"/>
    <w:rsid w:val="009451CD"/>
    <w:rsid w:val="009472AD"/>
    <w:rsid w:val="00947303"/>
    <w:rsid w:val="00950B96"/>
    <w:rsid w:val="00951C19"/>
    <w:rsid w:val="00953979"/>
    <w:rsid w:val="00954691"/>
    <w:rsid w:val="0095683E"/>
    <w:rsid w:val="00962000"/>
    <w:rsid w:val="00964BE7"/>
    <w:rsid w:val="00964C5E"/>
    <w:rsid w:val="00966922"/>
    <w:rsid w:val="00967ABB"/>
    <w:rsid w:val="00970AA1"/>
    <w:rsid w:val="00971687"/>
    <w:rsid w:val="0097180B"/>
    <w:rsid w:val="009729F7"/>
    <w:rsid w:val="0097304D"/>
    <w:rsid w:val="00973885"/>
    <w:rsid w:val="0097514B"/>
    <w:rsid w:val="009752A1"/>
    <w:rsid w:val="0097690E"/>
    <w:rsid w:val="009836C2"/>
    <w:rsid w:val="00984144"/>
    <w:rsid w:val="009856DB"/>
    <w:rsid w:val="00985D66"/>
    <w:rsid w:val="00990D94"/>
    <w:rsid w:val="00993310"/>
    <w:rsid w:val="009A2EBC"/>
    <w:rsid w:val="009A38A6"/>
    <w:rsid w:val="009A5263"/>
    <w:rsid w:val="009A60F8"/>
    <w:rsid w:val="009A66C6"/>
    <w:rsid w:val="009A7F73"/>
    <w:rsid w:val="009B1270"/>
    <w:rsid w:val="009B1D6C"/>
    <w:rsid w:val="009B40EC"/>
    <w:rsid w:val="009B4128"/>
    <w:rsid w:val="009B4314"/>
    <w:rsid w:val="009B6854"/>
    <w:rsid w:val="009C234A"/>
    <w:rsid w:val="009C27C3"/>
    <w:rsid w:val="009C2B86"/>
    <w:rsid w:val="009C454F"/>
    <w:rsid w:val="009C57F6"/>
    <w:rsid w:val="009D0F98"/>
    <w:rsid w:val="009D24D9"/>
    <w:rsid w:val="009E0408"/>
    <w:rsid w:val="009E2081"/>
    <w:rsid w:val="009E249D"/>
    <w:rsid w:val="009E401F"/>
    <w:rsid w:val="009E4D6F"/>
    <w:rsid w:val="009E6CCE"/>
    <w:rsid w:val="009F00A3"/>
    <w:rsid w:val="009F3F8D"/>
    <w:rsid w:val="009F63E7"/>
    <w:rsid w:val="00A01CF1"/>
    <w:rsid w:val="00A03D2C"/>
    <w:rsid w:val="00A07146"/>
    <w:rsid w:val="00A1134F"/>
    <w:rsid w:val="00A11D0F"/>
    <w:rsid w:val="00A13B56"/>
    <w:rsid w:val="00A16FC4"/>
    <w:rsid w:val="00A17051"/>
    <w:rsid w:val="00A17285"/>
    <w:rsid w:val="00A233AD"/>
    <w:rsid w:val="00A24285"/>
    <w:rsid w:val="00A255FD"/>
    <w:rsid w:val="00A27DA8"/>
    <w:rsid w:val="00A3248B"/>
    <w:rsid w:val="00A32906"/>
    <w:rsid w:val="00A33394"/>
    <w:rsid w:val="00A357DA"/>
    <w:rsid w:val="00A367C7"/>
    <w:rsid w:val="00A378A8"/>
    <w:rsid w:val="00A402EC"/>
    <w:rsid w:val="00A403D8"/>
    <w:rsid w:val="00A40450"/>
    <w:rsid w:val="00A42505"/>
    <w:rsid w:val="00A42F20"/>
    <w:rsid w:val="00A4325A"/>
    <w:rsid w:val="00A511EB"/>
    <w:rsid w:val="00A53A12"/>
    <w:rsid w:val="00A5404F"/>
    <w:rsid w:val="00A57041"/>
    <w:rsid w:val="00A57AAF"/>
    <w:rsid w:val="00A600BC"/>
    <w:rsid w:val="00A6119A"/>
    <w:rsid w:val="00A640FD"/>
    <w:rsid w:val="00A64686"/>
    <w:rsid w:val="00A662A8"/>
    <w:rsid w:val="00A707EA"/>
    <w:rsid w:val="00A7222C"/>
    <w:rsid w:val="00A761DA"/>
    <w:rsid w:val="00A76545"/>
    <w:rsid w:val="00A76CEF"/>
    <w:rsid w:val="00A76F1D"/>
    <w:rsid w:val="00A77AA9"/>
    <w:rsid w:val="00A807D1"/>
    <w:rsid w:val="00A83A53"/>
    <w:rsid w:val="00A842B8"/>
    <w:rsid w:val="00A87696"/>
    <w:rsid w:val="00A87A26"/>
    <w:rsid w:val="00A87AB7"/>
    <w:rsid w:val="00A87C1A"/>
    <w:rsid w:val="00A9100E"/>
    <w:rsid w:val="00A91BAB"/>
    <w:rsid w:val="00A920A0"/>
    <w:rsid w:val="00A94158"/>
    <w:rsid w:val="00A94C6D"/>
    <w:rsid w:val="00A95ED9"/>
    <w:rsid w:val="00A97F9E"/>
    <w:rsid w:val="00AA122F"/>
    <w:rsid w:val="00AA3327"/>
    <w:rsid w:val="00AA398C"/>
    <w:rsid w:val="00AA66F3"/>
    <w:rsid w:val="00AA723D"/>
    <w:rsid w:val="00AA7887"/>
    <w:rsid w:val="00AB2A98"/>
    <w:rsid w:val="00AB2AD7"/>
    <w:rsid w:val="00AB2E41"/>
    <w:rsid w:val="00AB469A"/>
    <w:rsid w:val="00AB4D91"/>
    <w:rsid w:val="00AB5244"/>
    <w:rsid w:val="00AB5E20"/>
    <w:rsid w:val="00AB79D4"/>
    <w:rsid w:val="00AC0152"/>
    <w:rsid w:val="00AC02E8"/>
    <w:rsid w:val="00AC19E5"/>
    <w:rsid w:val="00AC1BD4"/>
    <w:rsid w:val="00AC1F42"/>
    <w:rsid w:val="00AC7C39"/>
    <w:rsid w:val="00AD1669"/>
    <w:rsid w:val="00AD16C3"/>
    <w:rsid w:val="00AD2935"/>
    <w:rsid w:val="00AD4E64"/>
    <w:rsid w:val="00AD5A57"/>
    <w:rsid w:val="00AD7EFD"/>
    <w:rsid w:val="00AE045C"/>
    <w:rsid w:val="00AE50BD"/>
    <w:rsid w:val="00AE5D68"/>
    <w:rsid w:val="00AE68C9"/>
    <w:rsid w:val="00AE7646"/>
    <w:rsid w:val="00AF101B"/>
    <w:rsid w:val="00AF1A01"/>
    <w:rsid w:val="00AF25F8"/>
    <w:rsid w:val="00AF6129"/>
    <w:rsid w:val="00B05C68"/>
    <w:rsid w:val="00B05C96"/>
    <w:rsid w:val="00B06947"/>
    <w:rsid w:val="00B136F3"/>
    <w:rsid w:val="00B14AA1"/>
    <w:rsid w:val="00B15DE2"/>
    <w:rsid w:val="00B17128"/>
    <w:rsid w:val="00B171D4"/>
    <w:rsid w:val="00B17395"/>
    <w:rsid w:val="00B1783A"/>
    <w:rsid w:val="00B21BC9"/>
    <w:rsid w:val="00B230FB"/>
    <w:rsid w:val="00B23488"/>
    <w:rsid w:val="00B24D8E"/>
    <w:rsid w:val="00B255C0"/>
    <w:rsid w:val="00B261A9"/>
    <w:rsid w:val="00B32817"/>
    <w:rsid w:val="00B33C73"/>
    <w:rsid w:val="00B35DAE"/>
    <w:rsid w:val="00B36634"/>
    <w:rsid w:val="00B37FCF"/>
    <w:rsid w:val="00B451D8"/>
    <w:rsid w:val="00B46029"/>
    <w:rsid w:val="00B46412"/>
    <w:rsid w:val="00B53F33"/>
    <w:rsid w:val="00B54D43"/>
    <w:rsid w:val="00B5597F"/>
    <w:rsid w:val="00B56B52"/>
    <w:rsid w:val="00B60C49"/>
    <w:rsid w:val="00B60DBC"/>
    <w:rsid w:val="00B616D6"/>
    <w:rsid w:val="00B61C9A"/>
    <w:rsid w:val="00B630EE"/>
    <w:rsid w:val="00B665CB"/>
    <w:rsid w:val="00B6665D"/>
    <w:rsid w:val="00B66A38"/>
    <w:rsid w:val="00B6793A"/>
    <w:rsid w:val="00B7040F"/>
    <w:rsid w:val="00B7289F"/>
    <w:rsid w:val="00B740D3"/>
    <w:rsid w:val="00B74BE7"/>
    <w:rsid w:val="00B74FA2"/>
    <w:rsid w:val="00B772D6"/>
    <w:rsid w:val="00B81752"/>
    <w:rsid w:val="00B8241B"/>
    <w:rsid w:val="00B824AC"/>
    <w:rsid w:val="00B82B2F"/>
    <w:rsid w:val="00B855AA"/>
    <w:rsid w:val="00B8694C"/>
    <w:rsid w:val="00B86EE9"/>
    <w:rsid w:val="00B87054"/>
    <w:rsid w:val="00B87212"/>
    <w:rsid w:val="00B90AF3"/>
    <w:rsid w:val="00B90F94"/>
    <w:rsid w:val="00B92430"/>
    <w:rsid w:val="00B95CC3"/>
    <w:rsid w:val="00BA3F20"/>
    <w:rsid w:val="00BA5387"/>
    <w:rsid w:val="00BA6D8F"/>
    <w:rsid w:val="00BA7952"/>
    <w:rsid w:val="00BB05C0"/>
    <w:rsid w:val="00BB1364"/>
    <w:rsid w:val="00BB2DA3"/>
    <w:rsid w:val="00BB7BD2"/>
    <w:rsid w:val="00BB7E9F"/>
    <w:rsid w:val="00BC179A"/>
    <w:rsid w:val="00BC5409"/>
    <w:rsid w:val="00BD48CF"/>
    <w:rsid w:val="00BD575C"/>
    <w:rsid w:val="00BD5A8E"/>
    <w:rsid w:val="00BD5CA4"/>
    <w:rsid w:val="00BE0BD4"/>
    <w:rsid w:val="00BE22A0"/>
    <w:rsid w:val="00BE3683"/>
    <w:rsid w:val="00BE4160"/>
    <w:rsid w:val="00BE4572"/>
    <w:rsid w:val="00BE4598"/>
    <w:rsid w:val="00BE5F1F"/>
    <w:rsid w:val="00BF1F44"/>
    <w:rsid w:val="00BF349D"/>
    <w:rsid w:val="00BF5CAA"/>
    <w:rsid w:val="00BF5DC3"/>
    <w:rsid w:val="00BF68F4"/>
    <w:rsid w:val="00BF6A60"/>
    <w:rsid w:val="00C005EC"/>
    <w:rsid w:val="00C0334D"/>
    <w:rsid w:val="00C058B5"/>
    <w:rsid w:val="00C05BC0"/>
    <w:rsid w:val="00C07BF0"/>
    <w:rsid w:val="00C10242"/>
    <w:rsid w:val="00C10FA3"/>
    <w:rsid w:val="00C13079"/>
    <w:rsid w:val="00C1410D"/>
    <w:rsid w:val="00C14D92"/>
    <w:rsid w:val="00C15228"/>
    <w:rsid w:val="00C1572D"/>
    <w:rsid w:val="00C158A4"/>
    <w:rsid w:val="00C16113"/>
    <w:rsid w:val="00C177E1"/>
    <w:rsid w:val="00C21339"/>
    <w:rsid w:val="00C22088"/>
    <w:rsid w:val="00C22291"/>
    <w:rsid w:val="00C24ACE"/>
    <w:rsid w:val="00C26B03"/>
    <w:rsid w:val="00C26FC8"/>
    <w:rsid w:val="00C3375B"/>
    <w:rsid w:val="00C344FF"/>
    <w:rsid w:val="00C346A2"/>
    <w:rsid w:val="00C37A0F"/>
    <w:rsid w:val="00C40A64"/>
    <w:rsid w:val="00C40FA1"/>
    <w:rsid w:val="00C415B7"/>
    <w:rsid w:val="00C43B93"/>
    <w:rsid w:val="00C450AF"/>
    <w:rsid w:val="00C45E51"/>
    <w:rsid w:val="00C45E72"/>
    <w:rsid w:val="00C520A9"/>
    <w:rsid w:val="00C541C9"/>
    <w:rsid w:val="00C54741"/>
    <w:rsid w:val="00C562F2"/>
    <w:rsid w:val="00C56DE3"/>
    <w:rsid w:val="00C5742E"/>
    <w:rsid w:val="00C57598"/>
    <w:rsid w:val="00C57A6A"/>
    <w:rsid w:val="00C61F5A"/>
    <w:rsid w:val="00C6252A"/>
    <w:rsid w:val="00C63A0E"/>
    <w:rsid w:val="00C650C6"/>
    <w:rsid w:val="00C6785A"/>
    <w:rsid w:val="00C747FE"/>
    <w:rsid w:val="00C74FFE"/>
    <w:rsid w:val="00C767CB"/>
    <w:rsid w:val="00C7737C"/>
    <w:rsid w:val="00C80A76"/>
    <w:rsid w:val="00C80DA5"/>
    <w:rsid w:val="00C83B5D"/>
    <w:rsid w:val="00C8683F"/>
    <w:rsid w:val="00C86E7A"/>
    <w:rsid w:val="00C9076F"/>
    <w:rsid w:val="00C91930"/>
    <w:rsid w:val="00C91AED"/>
    <w:rsid w:val="00C94039"/>
    <w:rsid w:val="00C947BD"/>
    <w:rsid w:val="00C9522B"/>
    <w:rsid w:val="00CA2365"/>
    <w:rsid w:val="00CA2B0F"/>
    <w:rsid w:val="00CA4AC5"/>
    <w:rsid w:val="00CA5064"/>
    <w:rsid w:val="00CA554F"/>
    <w:rsid w:val="00CA7533"/>
    <w:rsid w:val="00CB102E"/>
    <w:rsid w:val="00CB27C2"/>
    <w:rsid w:val="00CB38F7"/>
    <w:rsid w:val="00CB48BD"/>
    <w:rsid w:val="00CB4C28"/>
    <w:rsid w:val="00CB4E06"/>
    <w:rsid w:val="00CB4FAF"/>
    <w:rsid w:val="00CB5E83"/>
    <w:rsid w:val="00CB7918"/>
    <w:rsid w:val="00CC1D67"/>
    <w:rsid w:val="00CC3112"/>
    <w:rsid w:val="00CC32A3"/>
    <w:rsid w:val="00CC6B4B"/>
    <w:rsid w:val="00CD204A"/>
    <w:rsid w:val="00CD301D"/>
    <w:rsid w:val="00CD33DC"/>
    <w:rsid w:val="00CD34C3"/>
    <w:rsid w:val="00CD4F36"/>
    <w:rsid w:val="00CD5113"/>
    <w:rsid w:val="00CD51BE"/>
    <w:rsid w:val="00CD53B0"/>
    <w:rsid w:val="00CD6718"/>
    <w:rsid w:val="00CE0C19"/>
    <w:rsid w:val="00CE2536"/>
    <w:rsid w:val="00CE36D5"/>
    <w:rsid w:val="00CE4400"/>
    <w:rsid w:val="00CE6A3A"/>
    <w:rsid w:val="00CF515E"/>
    <w:rsid w:val="00D006F5"/>
    <w:rsid w:val="00D018E3"/>
    <w:rsid w:val="00D02273"/>
    <w:rsid w:val="00D02E93"/>
    <w:rsid w:val="00D054ED"/>
    <w:rsid w:val="00D12867"/>
    <w:rsid w:val="00D1746B"/>
    <w:rsid w:val="00D17C37"/>
    <w:rsid w:val="00D212C8"/>
    <w:rsid w:val="00D233BC"/>
    <w:rsid w:val="00D23A8D"/>
    <w:rsid w:val="00D24190"/>
    <w:rsid w:val="00D24D79"/>
    <w:rsid w:val="00D25B65"/>
    <w:rsid w:val="00D26FFB"/>
    <w:rsid w:val="00D27B7B"/>
    <w:rsid w:val="00D3028D"/>
    <w:rsid w:val="00D30D93"/>
    <w:rsid w:val="00D345F8"/>
    <w:rsid w:val="00D34D66"/>
    <w:rsid w:val="00D34F32"/>
    <w:rsid w:val="00D36531"/>
    <w:rsid w:val="00D40526"/>
    <w:rsid w:val="00D4074A"/>
    <w:rsid w:val="00D45C7A"/>
    <w:rsid w:val="00D477F9"/>
    <w:rsid w:val="00D47B0D"/>
    <w:rsid w:val="00D47C10"/>
    <w:rsid w:val="00D50ED0"/>
    <w:rsid w:val="00D513EA"/>
    <w:rsid w:val="00D52A7C"/>
    <w:rsid w:val="00D533EA"/>
    <w:rsid w:val="00D54C0B"/>
    <w:rsid w:val="00D61FD4"/>
    <w:rsid w:val="00D6277E"/>
    <w:rsid w:val="00D66F52"/>
    <w:rsid w:val="00D67C5C"/>
    <w:rsid w:val="00D718ED"/>
    <w:rsid w:val="00D739F6"/>
    <w:rsid w:val="00D74EF8"/>
    <w:rsid w:val="00D74EFF"/>
    <w:rsid w:val="00D768CF"/>
    <w:rsid w:val="00D80946"/>
    <w:rsid w:val="00D8180E"/>
    <w:rsid w:val="00D825EE"/>
    <w:rsid w:val="00D82ACD"/>
    <w:rsid w:val="00D82FBC"/>
    <w:rsid w:val="00D830B6"/>
    <w:rsid w:val="00D84937"/>
    <w:rsid w:val="00D854DD"/>
    <w:rsid w:val="00D867AE"/>
    <w:rsid w:val="00D872A5"/>
    <w:rsid w:val="00D87D3C"/>
    <w:rsid w:val="00D91021"/>
    <w:rsid w:val="00D91D1C"/>
    <w:rsid w:val="00D91EEF"/>
    <w:rsid w:val="00D92E1A"/>
    <w:rsid w:val="00D93BC4"/>
    <w:rsid w:val="00D959D0"/>
    <w:rsid w:val="00D96ED3"/>
    <w:rsid w:val="00D96FEC"/>
    <w:rsid w:val="00DA0326"/>
    <w:rsid w:val="00DA0D57"/>
    <w:rsid w:val="00DA1DEC"/>
    <w:rsid w:val="00DA3C19"/>
    <w:rsid w:val="00DA51EA"/>
    <w:rsid w:val="00DA65C4"/>
    <w:rsid w:val="00DA7A2E"/>
    <w:rsid w:val="00DB0997"/>
    <w:rsid w:val="00DB0FF2"/>
    <w:rsid w:val="00DB1DAE"/>
    <w:rsid w:val="00DB281D"/>
    <w:rsid w:val="00DB2DE4"/>
    <w:rsid w:val="00DB4CAF"/>
    <w:rsid w:val="00DC07EC"/>
    <w:rsid w:val="00DC1279"/>
    <w:rsid w:val="00DC16E2"/>
    <w:rsid w:val="00DC77C5"/>
    <w:rsid w:val="00DD05BA"/>
    <w:rsid w:val="00DD14F1"/>
    <w:rsid w:val="00DD291A"/>
    <w:rsid w:val="00DD3676"/>
    <w:rsid w:val="00DD6210"/>
    <w:rsid w:val="00DD6B44"/>
    <w:rsid w:val="00DE09E7"/>
    <w:rsid w:val="00DE0F62"/>
    <w:rsid w:val="00DE1E7D"/>
    <w:rsid w:val="00DE3961"/>
    <w:rsid w:val="00DE4E52"/>
    <w:rsid w:val="00DE74E2"/>
    <w:rsid w:val="00DE7820"/>
    <w:rsid w:val="00DF0401"/>
    <w:rsid w:val="00DF1B98"/>
    <w:rsid w:val="00DF252D"/>
    <w:rsid w:val="00DF5748"/>
    <w:rsid w:val="00DF75E6"/>
    <w:rsid w:val="00DF76C3"/>
    <w:rsid w:val="00E00581"/>
    <w:rsid w:val="00E00685"/>
    <w:rsid w:val="00E00AD0"/>
    <w:rsid w:val="00E03A36"/>
    <w:rsid w:val="00E0447D"/>
    <w:rsid w:val="00E048BB"/>
    <w:rsid w:val="00E054AC"/>
    <w:rsid w:val="00E062CC"/>
    <w:rsid w:val="00E0712A"/>
    <w:rsid w:val="00E10F20"/>
    <w:rsid w:val="00E11C8A"/>
    <w:rsid w:val="00E122C4"/>
    <w:rsid w:val="00E13013"/>
    <w:rsid w:val="00E1736E"/>
    <w:rsid w:val="00E20022"/>
    <w:rsid w:val="00E2072F"/>
    <w:rsid w:val="00E21000"/>
    <w:rsid w:val="00E22843"/>
    <w:rsid w:val="00E239A7"/>
    <w:rsid w:val="00E23A69"/>
    <w:rsid w:val="00E23FD6"/>
    <w:rsid w:val="00E25230"/>
    <w:rsid w:val="00E253E6"/>
    <w:rsid w:val="00E25E14"/>
    <w:rsid w:val="00E27987"/>
    <w:rsid w:val="00E279F4"/>
    <w:rsid w:val="00E300E0"/>
    <w:rsid w:val="00E33717"/>
    <w:rsid w:val="00E34613"/>
    <w:rsid w:val="00E40255"/>
    <w:rsid w:val="00E40583"/>
    <w:rsid w:val="00E40FB7"/>
    <w:rsid w:val="00E41547"/>
    <w:rsid w:val="00E415AA"/>
    <w:rsid w:val="00E42A39"/>
    <w:rsid w:val="00E433EA"/>
    <w:rsid w:val="00E4624B"/>
    <w:rsid w:val="00E475F1"/>
    <w:rsid w:val="00E4795B"/>
    <w:rsid w:val="00E50CE9"/>
    <w:rsid w:val="00E5148F"/>
    <w:rsid w:val="00E53DF6"/>
    <w:rsid w:val="00E544A0"/>
    <w:rsid w:val="00E55CBC"/>
    <w:rsid w:val="00E57A92"/>
    <w:rsid w:val="00E57F2A"/>
    <w:rsid w:val="00E60AAD"/>
    <w:rsid w:val="00E63EFA"/>
    <w:rsid w:val="00E671A1"/>
    <w:rsid w:val="00E704EE"/>
    <w:rsid w:val="00E71CA4"/>
    <w:rsid w:val="00E72283"/>
    <w:rsid w:val="00E76D8D"/>
    <w:rsid w:val="00E80A20"/>
    <w:rsid w:val="00E83950"/>
    <w:rsid w:val="00E85C00"/>
    <w:rsid w:val="00E86461"/>
    <w:rsid w:val="00E86916"/>
    <w:rsid w:val="00E86D9F"/>
    <w:rsid w:val="00E91331"/>
    <w:rsid w:val="00E92545"/>
    <w:rsid w:val="00E92EF0"/>
    <w:rsid w:val="00E95B6F"/>
    <w:rsid w:val="00E962FE"/>
    <w:rsid w:val="00E9671B"/>
    <w:rsid w:val="00EA3324"/>
    <w:rsid w:val="00EA6B77"/>
    <w:rsid w:val="00EA6E33"/>
    <w:rsid w:val="00EA7025"/>
    <w:rsid w:val="00EA7C5B"/>
    <w:rsid w:val="00EB0328"/>
    <w:rsid w:val="00EB36B7"/>
    <w:rsid w:val="00EB6062"/>
    <w:rsid w:val="00EB730E"/>
    <w:rsid w:val="00EB75B6"/>
    <w:rsid w:val="00EC261F"/>
    <w:rsid w:val="00EC3066"/>
    <w:rsid w:val="00EC36D5"/>
    <w:rsid w:val="00EC407A"/>
    <w:rsid w:val="00EC4549"/>
    <w:rsid w:val="00EC47F9"/>
    <w:rsid w:val="00EC5162"/>
    <w:rsid w:val="00EC6FBA"/>
    <w:rsid w:val="00EC711C"/>
    <w:rsid w:val="00EC7344"/>
    <w:rsid w:val="00EC75DB"/>
    <w:rsid w:val="00ED7AD3"/>
    <w:rsid w:val="00EE16C9"/>
    <w:rsid w:val="00EE458A"/>
    <w:rsid w:val="00EE458C"/>
    <w:rsid w:val="00EE4901"/>
    <w:rsid w:val="00EF0B82"/>
    <w:rsid w:val="00EF1C77"/>
    <w:rsid w:val="00EF325B"/>
    <w:rsid w:val="00EF4BBB"/>
    <w:rsid w:val="00EF7A26"/>
    <w:rsid w:val="00EF7E88"/>
    <w:rsid w:val="00F00E19"/>
    <w:rsid w:val="00F01186"/>
    <w:rsid w:val="00F01AC9"/>
    <w:rsid w:val="00F030C4"/>
    <w:rsid w:val="00F038F1"/>
    <w:rsid w:val="00F03B37"/>
    <w:rsid w:val="00F03E97"/>
    <w:rsid w:val="00F11EB5"/>
    <w:rsid w:val="00F12286"/>
    <w:rsid w:val="00F128DB"/>
    <w:rsid w:val="00F13DB7"/>
    <w:rsid w:val="00F15C88"/>
    <w:rsid w:val="00F206B1"/>
    <w:rsid w:val="00F213E6"/>
    <w:rsid w:val="00F241F5"/>
    <w:rsid w:val="00F246FD"/>
    <w:rsid w:val="00F256F0"/>
    <w:rsid w:val="00F27DA3"/>
    <w:rsid w:val="00F36A5F"/>
    <w:rsid w:val="00F37A4C"/>
    <w:rsid w:val="00F37D02"/>
    <w:rsid w:val="00F40928"/>
    <w:rsid w:val="00F41BDB"/>
    <w:rsid w:val="00F425A6"/>
    <w:rsid w:val="00F43955"/>
    <w:rsid w:val="00F47DBB"/>
    <w:rsid w:val="00F516CF"/>
    <w:rsid w:val="00F529F5"/>
    <w:rsid w:val="00F54145"/>
    <w:rsid w:val="00F54CFB"/>
    <w:rsid w:val="00F55E02"/>
    <w:rsid w:val="00F56937"/>
    <w:rsid w:val="00F6034E"/>
    <w:rsid w:val="00F60CA6"/>
    <w:rsid w:val="00F620AA"/>
    <w:rsid w:val="00F63B3C"/>
    <w:rsid w:val="00F645B9"/>
    <w:rsid w:val="00F64BC3"/>
    <w:rsid w:val="00F6580D"/>
    <w:rsid w:val="00F676D3"/>
    <w:rsid w:val="00F712F0"/>
    <w:rsid w:val="00F719C0"/>
    <w:rsid w:val="00F72264"/>
    <w:rsid w:val="00F75916"/>
    <w:rsid w:val="00F762E4"/>
    <w:rsid w:val="00F7784C"/>
    <w:rsid w:val="00F820E8"/>
    <w:rsid w:val="00F836F5"/>
    <w:rsid w:val="00F84BEB"/>
    <w:rsid w:val="00F87F07"/>
    <w:rsid w:val="00F936CB"/>
    <w:rsid w:val="00F94420"/>
    <w:rsid w:val="00F949FF"/>
    <w:rsid w:val="00F95522"/>
    <w:rsid w:val="00F96523"/>
    <w:rsid w:val="00F965AC"/>
    <w:rsid w:val="00F96C47"/>
    <w:rsid w:val="00FA1594"/>
    <w:rsid w:val="00FA1938"/>
    <w:rsid w:val="00FA40DD"/>
    <w:rsid w:val="00FA57BF"/>
    <w:rsid w:val="00FA7333"/>
    <w:rsid w:val="00FB3346"/>
    <w:rsid w:val="00FB49E0"/>
    <w:rsid w:val="00FB4EB0"/>
    <w:rsid w:val="00FB740A"/>
    <w:rsid w:val="00FC1420"/>
    <w:rsid w:val="00FC3D9C"/>
    <w:rsid w:val="00FC4985"/>
    <w:rsid w:val="00FC49B0"/>
    <w:rsid w:val="00FD2019"/>
    <w:rsid w:val="00FD33FB"/>
    <w:rsid w:val="00FD36FE"/>
    <w:rsid w:val="00FD5B19"/>
    <w:rsid w:val="00FD5BB4"/>
    <w:rsid w:val="00FD7822"/>
    <w:rsid w:val="00FE059F"/>
    <w:rsid w:val="00FE070D"/>
    <w:rsid w:val="00FE2A49"/>
    <w:rsid w:val="00FE4039"/>
    <w:rsid w:val="00FE6F18"/>
    <w:rsid w:val="00FE770E"/>
    <w:rsid w:val="00FF19B4"/>
    <w:rsid w:val="00FF2562"/>
    <w:rsid w:val="00FF362C"/>
    <w:rsid w:val="00FF3B15"/>
    <w:rsid w:val="00FF4FF0"/>
    <w:rsid w:val="00FF626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FBA9"/>
  <w15:docId w15:val="{1D51449D-5D69-EB4F-A30A-DCB24F81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0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70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7BBF"/>
    <w:pPr>
      <w:spacing w:before="100" w:beforeAutospacing="1" w:after="100" w:afterAutospacing="1" w:line="240" w:lineRule="auto"/>
    </w:pPr>
    <w:rPr>
      <w:rFonts w:eastAsia="Times New Roman"/>
      <w:sz w:val="24"/>
      <w:szCs w:val="24"/>
      <w:lang w:eastAsia="vi-VN"/>
    </w:rPr>
  </w:style>
  <w:style w:type="character" w:styleId="Hyperlink">
    <w:name w:val="Hyperlink"/>
    <w:basedOn w:val="DefaultParagraphFont"/>
    <w:uiPriority w:val="99"/>
    <w:unhideWhenUsed/>
    <w:rsid w:val="00B230FB"/>
    <w:rPr>
      <w:color w:val="0000FF" w:themeColor="hyperlink"/>
      <w:u w:val="single"/>
    </w:rPr>
  </w:style>
  <w:style w:type="paragraph" w:styleId="Header">
    <w:name w:val="header"/>
    <w:basedOn w:val="Normal"/>
    <w:link w:val="HeaderChar"/>
    <w:uiPriority w:val="99"/>
    <w:unhideWhenUsed/>
    <w:rsid w:val="007F2F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FDB"/>
  </w:style>
  <w:style w:type="paragraph" w:styleId="Footer">
    <w:name w:val="footer"/>
    <w:basedOn w:val="Normal"/>
    <w:link w:val="FooterChar"/>
    <w:uiPriority w:val="99"/>
    <w:unhideWhenUsed/>
    <w:rsid w:val="007F2F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FDB"/>
  </w:style>
  <w:style w:type="character" w:styleId="CommentReference">
    <w:name w:val="annotation reference"/>
    <w:basedOn w:val="DefaultParagraphFont"/>
    <w:uiPriority w:val="99"/>
    <w:semiHidden/>
    <w:unhideWhenUsed/>
    <w:rsid w:val="00847E9A"/>
    <w:rPr>
      <w:sz w:val="16"/>
      <w:szCs w:val="16"/>
    </w:rPr>
  </w:style>
  <w:style w:type="paragraph" w:styleId="CommentText">
    <w:name w:val="annotation text"/>
    <w:basedOn w:val="Normal"/>
    <w:link w:val="CommentTextChar"/>
    <w:uiPriority w:val="99"/>
    <w:semiHidden/>
    <w:unhideWhenUsed/>
    <w:rsid w:val="00847E9A"/>
    <w:pPr>
      <w:spacing w:after="160" w:line="240"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semiHidden/>
    <w:rsid w:val="00847E9A"/>
    <w:rPr>
      <w:rFonts w:ascii="Calibri" w:eastAsia="Calibri" w:hAnsi="Calibri"/>
      <w:sz w:val="20"/>
      <w:szCs w:val="20"/>
      <w:lang w:val="en-US"/>
    </w:rPr>
  </w:style>
  <w:style w:type="paragraph" w:styleId="BalloonText">
    <w:name w:val="Balloon Text"/>
    <w:basedOn w:val="Normal"/>
    <w:link w:val="BalloonTextChar"/>
    <w:uiPriority w:val="99"/>
    <w:semiHidden/>
    <w:unhideWhenUsed/>
    <w:rsid w:val="00847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E9A"/>
    <w:rPr>
      <w:rFonts w:ascii="Segoe UI" w:hAnsi="Segoe UI" w:cs="Segoe UI"/>
      <w:sz w:val="18"/>
      <w:szCs w:val="18"/>
    </w:rPr>
  </w:style>
  <w:style w:type="paragraph" w:styleId="Revision">
    <w:name w:val="Revision"/>
    <w:hidden/>
    <w:uiPriority w:val="99"/>
    <w:semiHidden/>
    <w:rsid w:val="00B86EE9"/>
    <w:pPr>
      <w:spacing w:after="0" w:line="240" w:lineRule="auto"/>
    </w:pPr>
  </w:style>
  <w:style w:type="paragraph" w:styleId="BodyTextIndent2">
    <w:name w:val="Body Text Indent 2"/>
    <w:basedOn w:val="Normal"/>
    <w:link w:val="BodyTextIndent2Char"/>
    <w:uiPriority w:val="99"/>
    <w:unhideWhenUsed/>
    <w:rsid w:val="00DF75E6"/>
    <w:pPr>
      <w:spacing w:after="120" w:line="480" w:lineRule="auto"/>
      <w:ind w:left="360"/>
    </w:pPr>
    <w:rPr>
      <w:rFonts w:eastAsia="Times New Roman"/>
      <w:sz w:val="24"/>
      <w:szCs w:val="24"/>
      <w:lang w:val="en-US"/>
    </w:rPr>
  </w:style>
  <w:style w:type="character" w:customStyle="1" w:styleId="BodyTextIndent2Char">
    <w:name w:val="Body Text Indent 2 Char"/>
    <w:basedOn w:val="DefaultParagraphFont"/>
    <w:link w:val="BodyTextIndent2"/>
    <w:uiPriority w:val="99"/>
    <w:rsid w:val="00DF75E6"/>
    <w:rPr>
      <w:rFonts w:eastAsia="Times New Roman"/>
      <w:sz w:val="24"/>
      <w:szCs w:val="24"/>
      <w:lang w:val="en-US"/>
    </w:rPr>
  </w:style>
  <w:style w:type="paragraph" w:styleId="BodyTextIndent">
    <w:name w:val="Body Text Indent"/>
    <w:basedOn w:val="Normal"/>
    <w:link w:val="BodyTextIndentChar"/>
    <w:uiPriority w:val="99"/>
    <w:unhideWhenUsed/>
    <w:rsid w:val="004C5F33"/>
    <w:pPr>
      <w:spacing w:after="120" w:line="259" w:lineRule="auto"/>
      <w:ind w:left="360"/>
    </w:pPr>
    <w:rPr>
      <w:rFonts w:ascii="Calibri" w:eastAsia="Calibri" w:hAnsi="Calibri"/>
      <w:sz w:val="22"/>
      <w:szCs w:val="22"/>
      <w:lang w:val="en-US"/>
    </w:rPr>
  </w:style>
  <w:style w:type="character" w:customStyle="1" w:styleId="BodyTextIndentChar">
    <w:name w:val="Body Text Indent Char"/>
    <w:basedOn w:val="DefaultParagraphFont"/>
    <w:link w:val="BodyTextIndent"/>
    <w:uiPriority w:val="99"/>
    <w:rsid w:val="004C5F33"/>
    <w:rPr>
      <w:rFonts w:ascii="Calibri" w:eastAsia="Calibri" w:hAnsi="Calibri"/>
      <w:sz w:val="22"/>
      <w:szCs w:val="22"/>
      <w:lang w:val="en-US"/>
    </w:rPr>
  </w:style>
  <w:style w:type="character" w:styleId="Strong">
    <w:name w:val="Strong"/>
    <w:uiPriority w:val="22"/>
    <w:qFormat/>
    <w:rsid w:val="00011717"/>
    <w:rPr>
      <w:b/>
      <w:bCs/>
    </w:rPr>
  </w:style>
  <w:style w:type="character" w:styleId="PageNumber">
    <w:name w:val="page number"/>
    <w:basedOn w:val="DefaultParagraphFont"/>
    <w:rsid w:val="00183108"/>
  </w:style>
  <w:style w:type="character" w:customStyle="1" w:styleId="FontStyle52">
    <w:name w:val="Font Style52"/>
    <w:rsid w:val="00183108"/>
    <w:rPr>
      <w:rFonts w:ascii="Arial" w:hAnsi="Arial" w:cs="Arial"/>
      <w:color w:val="000000"/>
      <w:sz w:val="18"/>
      <w:szCs w:val="18"/>
    </w:rPr>
  </w:style>
  <w:style w:type="paragraph" w:customStyle="1" w:styleId="Style19">
    <w:name w:val="Style19"/>
    <w:basedOn w:val="Normal"/>
    <w:rsid w:val="00183108"/>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1">
    <w:name w:val="1"/>
    <w:basedOn w:val="Normal"/>
    <w:rsid w:val="00183108"/>
    <w:pPr>
      <w:spacing w:before="600" w:after="120" w:line="360" w:lineRule="auto"/>
      <w:jc w:val="both"/>
    </w:pPr>
    <w:rPr>
      <w:rFonts w:ascii="Arial" w:eastAsia="Times New Roman" w:hAnsi="Arial" w:cs="Arial"/>
      <w:b/>
      <w:spacing w:val="5"/>
      <w:sz w:val="24"/>
      <w:szCs w:val="22"/>
      <w:lang w:val="en-GB"/>
    </w:rPr>
  </w:style>
  <w:style w:type="paragraph" w:customStyle="1" w:styleId="a">
    <w:name w:val="a"/>
    <w:basedOn w:val="BodyTextIndent3"/>
    <w:autoRedefine/>
    <w:rsid w:val="00A9100E"/>
    <w:pPr>
      <w:snapToGrid w:val="0"/>
      <w:spacing w:before="120" w:after="0" w:line="360" w:lineRule="auto"/>
      <w:ind w:left="0" w:firstLine="720"/>
      <w:jc w:val="both"/>
    </w:pPr>
    <w:rPr>
      <w:rFonts w:ascii="Arial" w:eastAsia="Times New Roman" w:hAnsi="Arial" w:cs="Arial"/>
      <w:b/>
      <w:bCs/>
      <w:spacing w:val="-2"/>
      <w:sz w:val="24"/>
      <w:szCs w:val="24"/>
    </w:rPr>
  </w:style>
  <w:style w:type="paragraph" w:styleId="BodyTextIndent3">
    <w:name w:val="Body Text Indent 3"/>
    <w:basedOn w:val="Normal"/>
    <w:link w:val="BodyTextIndent3Char"/>
    <w:uiPriority w:val="99"/>
    <w:semiHidden/>
    <w:unhideWhenUsed/>
    <w:rsid w:val="00A910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9100E"/>
    <w:rPr>
      <w:sz w:val="16"/>
      <w:szCs w:val="16"/>
    </w:rPr>
  </w:style>
  <w:style w:type="paragraph" w:customStyle="1" w:styleId="Style23">
    <w:name w:val="Style23"/>
    <w:basedOn w:val="Normal"/>
    <w:rsid w:val="00A9100E"/>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StyleArial12ptBlackFirstline127cmRight005cm">
    <w:name w:val="Style Arial 12 pt Black First line:  1.27 cm Right:  0.05 cm"/>
    <w:basedOn w:val="Normal"/>
    <w:autoRedefine/>
    <w:rsid w:val="00A9100E"/>
    <w:pPr>
      <w:spacing w:before="120" w:after="0" w:line="360" w:lineRule="auto"/>
      <w:ind w:firstLine="720"/>
      <w:jc w:val="both"/>
    </w:pPr>
    <w:rPr>
      <w:rFonts w:ascii="Arial" w:eastAsia="Times New Roman" w:hAnsi="Arial" w:cs="Arial"/>
      <w:spacing w:val="-2"/>
      <w:sz w:val="24"/>
      <w:szCs w:val="24"/>
      <w:lang w:val="nl-BE"/>
    </w:rPr>
  </w:style>
  <w:style w:type="paragraph" w:customStyle="1" w:styleId="Stylevao-vArial12ptBlack">
    <w:name w:val="Style vao-v + Arial 12 pt Black"/>
    <w:basedOn w:val="Normal"/>
    <w:link w:val="Stylevao-vArial12ptBlackChar"/>
    <w:autoRedefine/>
    <w:rsid w:val="00A9100E"/>
    <w:pPr>
      <w:numPr>
        <w:numId w:val="1"/>
      </w:numPr>
      <w:tabs>
        <w:tab w:val="clear" w:pos="644"/>
        <w:tab w:val="num" w:pos="360"/>
      </w:tabs>
      <w:spacing w:before="120" w:after="0" w:line="360" w:lineRule="auto"/>
      <w:ind w:left="340"/>
      <w:jc w:val="both"/>
    </w:pPr>
    <w:rPr>
      <w:rFonts w:ascii="Arial" w:eastAsia="Times New Roman" w:hAnsi="Arial"/>
      <w:color w:val="000000"/>
      <w:spacing w:val="4"/>
      <w:sz w:val="24"/>
      <w:szCs w:val="20"/>
      <w:lang w:val="en-US"/>
    </w:rPr>
  </w:style>
  <w:style w:type="character" w:customStyle="1" w:styleId="Stylevao-vArial12ptBlackChar">
    <w:name w:val="Style vao-v + Arial 12 pt Black Char"/>
    <w:link w:val="Stylevao-vArial12ptBlack"/>
    <w:rsid w:val="00A9100E"/>
    <w:rPr>
      <w:rFonts w:ascii="Arial" w:eastAsia="Times New Roman" w:hAnsi="Arial"/>
      <w:color w:val="000000"/>
      <w:spacing w:val="4"/>
      <w:sz w:val="24"/>
      <w:szCs w:val="20"/>
      <w:lang w:val="en-US"/>
    </w:rPr>
  </w:style>
  <w:style w:type="paragraph" w:customStyle="1" w:styleId="2">
    <w:name w:val="2"/>
    <w:basedOn w:val="Normal"/>
    <w:rsid w:val="00A9100E"/>
    <w:pPr>
      <w:spacing w:before="240" w:after="0" w:line="360" w:lineRule="auto"/>
      <w:jc w:val="both"/>
    </w:pPr>
    <w:rPr>
      <w:rFonts w:ascii="Arial" w:eastAsia="Times New Roman" w:hAnsi="Arial" w:cs="Arial"/>
      <w:b/>
      <w:spacing w:val="5"/>
      <w:sz w:val="22"/>
      <w:szCs w:val="22"/>
      <w:lang w:val="en-GB"/>
    </w:rPr>
  </w:style>
  <w:style w:type="paragraph" w:customStyle="1" w:styleId="3">
    <w:name w:val="3"/>
    <w:basedOn w:val="Normal"/>
    <w:rsid w:val="0053463F"/>
    <w:pPr>
      <w:spacing w:before="240" w:after="60" w:line="360" w:lineRule="auto"/>
      <w:jc w:val="both"/>
    </w:pPr>
    <w:rPr>
      <w:rFonts w:ascii=".VnArial" w:eastAsia="Yu Mincho" w:hAnsi=".VnArial"/>
      <w:spacing w:val="5"/>
      <w:sz w:val="22"/>
      <w:szCs w:val="20"/>
      <w:lang w:val="en-GB"/>
    </w:rPr>
  </w:style>
  <w:style w:type="paragraph" w:customStyle="1" w:styleId="vao-v">
    <w:name w:val="vao-v"/>
    <w:basedOn w:val="Normal"/>
    <w:rsid w:val="0053463F"/>
    <w:pPr>
      <w:tabs>
        <w:tab w:val="num" w:pos="644"/>
      </w:tabs>
      <w:spacing w:before="120" w:after="0" w:line="360" w:lineRule="auto"/>
      <w:ind w:left="624" w:hanging="340"/>
      <w:jc w:val="both"/>
    </w:pPr>
    <w:rPr>
      <w:rFonts w:ascii="Arial" w:eastAsia="Yu Mincho" w:hAnsi="Arial" w:cs="Arial"/>
      <w:spacing w:val="5"/>
      <w:sz w:val="24"/>
      <w:szCs w:val="24"/>
      <w:lang w:val="en-US"/>
    </w:rPr>
  </w:style>
  <w:style w:type="paragraph" w:styleId="ListParagraph">
    <w:name w:val="List Paragraph"/>
    <w:basedOn w:val="Normal"/>
    <w:uiPriority w:val="34"/>
    <w:qFormat/>
    <w:rsid w:val="005A7989"/>
    <w:pPr>
      <w:ind w:left="720"/>
      <w:contextualSpacing/>
    </w:pPr>
  </w:style>
  <w:style w:type="paragraph" w:customStyle="1" w:styleId="Anh-bia-W">
    <w:name w:val="Anh-bia-W"/>
    <w:basedOn w:val="Normal"/>
    <w:rsid w:val="00A42505"/>
    <w:pPr>
      <w:spacing w:before="360" w:after="240" w:line="360" w:lineRule="atLeast"/>
      <w:jc w:val="center"/>
    </w:pPr>
    <w:rPr>
      <w:rFonts w:ascii="Arial" w:eastAsia="Times New Roman" w:hAnsi="Arial" w:cs="Arial"/>
      <w:b/>
      <w:i/>
      <w:spacing w:val="5"/>
      <w:sz w:val="24"/>
      <w:szCs w:val="24"/>
    </w:rPr>
  </w:style>
  <w:style w:type="character" w:customStyle="1" w:styleId="FontStyle51">
    <w:name w:val="Font Style51"/>
    <w:rsid w:val="002A487B"/>
    <w:rPr>
      <w:rFonts w:ascii="Arial" w:hAnsi="Arial" w:cs="Arial"/>
      <w:b/>
      <w:bCs/>
      <w:color w:val="000000"/>
      <w:sz w:val="22"/>
      <w:szCs w:val="22"/>
    </w:rPr>
  </w:style>
  <w:style w:type="paragraph" w:styleId="BodyText">
    <w:name w:val="Body Text"/>
    <w:basedOn w:val="Normal"/>
    <w:link w:val="BodyTextChar"/>
    <w:rsid w:val="002A487B"/>
    <w:pPr>
      <w:spacing w:before="120" w:after="120" w:line="360" w:lineRule="auto"/>
      <w:jc w:val="both"/>
    </w:pPr>
    <w:rPr>
      <w:rFonts w:ascii="Arial" w:eastAsia="Times New Roman" w:hAnsi="Arial" w:cs="Arial"/>
      <w:spacing w:val="5"/>
      <w:sz w:val="24"/>
      <w:szCs w:val="24"/>
    </w:rPr>
  </w:style>
  <w:style w:type="character" w:customStyle="1" w:styleId="BodyTextChar">
    <w:name w:val="Body Text Char"/>
    <w:basedOn w:val="DefaultParagraphFont"/>
    <w:link w:val="BodyText"/>
    <w:rsid w:val="002A487B"/>
    <w:rPr>
      <w:rFonts w:ascii="Arial" w:eastAsia="Times New Roman" w:hAnsi="Arial" w:cs="Arial"/>
      <w:spacing w:val="5"/>
      <w:sz w:val="24"/>
      <w:szCs w:val="24"/>
    </w:rPr>
  </w:style>
  <w:style w:type="paragraph" w:styleId="CommentSubject">
    <w:name w:val="annotation subject"/>
    <w:basedOn w:val="CommentText"/>
    <w:next w:val="CommentText"/>
    <w:link w:val="CommentSubjectChar"/>
    <w:uiPriority w:val="99"/>
    <w:semiHidden/>
    <w:unhideWhenUsed/>
    <w:rsid w:val="00854151"/>
    <w:pPr>
      <w:spacing w:after="200"/>
    </w:pPr>
    <w:rPr>
      <w:rFonts w:ascii="Times New Roman" w:eastAsiaTheme="minorHAnsi" w:hAnsi="Times New Roman"/>
      <w:b/>
      <w:bCs/>
      <w:lang w:val="vi-VN"/>
    </w:rPr>
  </w:style>
  <w:style w:type="character" w:customStyle="1" w:styleId="CommentSubjectChar">
    <w:name w:val="Comment Subject Char"/>
    <w:basedOn w:val="CommentTextChar"/>
    <w:link w:val="CommentSubject"/>
    <w:uiPriority w:val="99"/>
    <w:semiHidden/>
    <w:rsid w:val="00854151"/>
    <w:rPr>
      <w:rFonts w:ascii="Calibri" w:eastAsia="Calibri" w:hAnsi="Calibr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433">
      <w:bodyDiv w:val="1"/>
      <w:marLeft w:val="0"/>
      <w:marRight w:val="0"/>
      <w:marTop w:val="0"/>
      <w:marBottom w:val="0"/>
      <w:divBdr>
        <w:top w:val="none" w:sz="0" w:space="0" w:color="auto"/>
        <w:left w:val="none" w:sz="0" w:space="0" w:color="auto"/>
        <w:bottom w:val="none" w:sz="0" w:space="0" w:color="auto"/>
        <w:right w:val="none" w:sz="0" w:space="0" w:color="auto"/>
      </w:divBdr>
    </w:div>
    <w:div w:id="8458176">
      <w:bodyDiv w:val="1"/>
      <w:marLeft w:val="0"/>
      <w:marRight w:val="0"/>
      <w:marTop w:val="0"/>
      <w:marBottom w:val="0"/>
      <w:divBdr>
        <w:top w:val="none" w:sz="0" w:space="0" w:color="auto"/>
        <w:left w:val="none" w:sz="0" w:space="0" w:color="auto"/>
        <w:bottom w:val="none" w:sz="0" w:space="0" w:color="auto"/>
        <w:right w:val="none" w:sz="0" w:space="0" w:color="auto"/>
      </w:divBdr>
    </w:div>
    <w:div w:id="10768515">
      <w:bodyDiv w:val="1"/>
      <w:marLeft w:val="0"/>
      <w:marRight w:val="0"/>
      <w:marTop w:val="0"/>
      <w:marBottom w:val="0"/>
      <w:divBdr>
        <w:top w:val="none" w:sz="0" w:space="0" w:color="auto"/>
        <w:left w:val="none" w:sz="0" w:space="0" w:color="auto"/>
        <w:bottom w:val="none" w:sz="0" w:space="0" w:color="auto"/>
        <w:right w:val="none" w:sz="0" w:space="0" w:color="auto"/>
      </w:divBdr>
    </w:div>
    <w:div w:id="19010335">
      <w:bodyDiv w:val="1"/>
      <w:marLeft w:val="0"/>
      <w:marRight w:val="0"/>
      <w:marTop w:val="0"/>
      <w:marBottom w:val="0"/>
      <w:divBdr>
        <w:top w:val="none" w:sz="0" w:space="0" w:color="auto"/>
        <w:left w:val="none" w:sz="0" w:space="0" w:color="auto"/>
        <w:bottom w:val="none" w:sz="0" w:space="0" w:color="auto"/>
        <w:right w:val="none" w:sz="0" w:space="0" w:color="auto"/>
      </w:divBdr>
    </w:div>
    <w:div w:id="26640112">
      <w:bodyDiv w:val="1"/>
      <w:marLeft w:val="0"/>
      <w:marRight w:val="0"/>
      <w:marTop w:val="0"/>
      <w:marBottom w:val="0"/>
      <w:divBdr>
        <w:top w:val="none" w:sz="0" w:space="0" w:color="auto"/>
        <w:left w:val="none" w:sz="0" w:space="0" w:color="auto"/>
        <w:bottom w:val="none" w:sz="0" w:space="0" w:color="auto"/>
        <w:right w:val="none" w:sz="0" w:space="0" w:color="auto"/>
      </w:divBdr>
    </w:div>
    <w:div w:id="77673391">
      <w:bodyDiv w:val="1"/>
      <w:marLeft w:val="0"/>
      <w:marRight w:val="0"/>
      <w:marTop w:val="0"/>
      <w:marBottom w:val="0"/>
      <w:divBdr>
        <w:top w:val="none" w:sz="0" w:space="0" w:color="auto"/>
        <w:left w:val="none" w:sz="0" w:space="0" w:color="auto"/>
        <w:bottom w:val="none" w:sz="0" w:space="0" w:color="auto"/>
        <w:right w:val="none" w:sz="0" w:space="0" w:color="auto"/>
      </w:divBdr>
    </w:div>
    <w:div w:id="91559801">
      <w:bodyDiv w:val="1"/>
      <w:marLeft w:val="0"/>
      <w:marRight w:val="0"/>
      <w:marTop w:val="0"/>
      <w:marBottom w:val="0"/>
      <w:divBdr>
        <w:top w:val="none" w:sz="0" w:space="0" w:color="auto"/>
        <w:left w:val="none" w:sz="0" w:space="0" w:color="auto"/>
        <w:bottom w:val="none" w:sz="0" w:space="0" w:color="auto"/>
        <w:right w:val="none" w:sz="0" w:space="0" w:color="auto"/>
      </w:divBdr>
    </w:div>
    <w:div w:id="114835895">
      <w:bodyDiv w:val="1"/>
      <w:marLeft w:val="0"/>
      <w:marRight w:val="0"/>
      <w:marTop w:val="0"/>
      <w:marBottom w:val="0"/>
      <w:divBdr>
        <w:top w:val="none" w:sz="0" w:space="0" w:color="auto"/>
        <w:left w:val="none" w:sz="0" w:space="0" w:color="auto"/>
        <w:bottom w:val="none" w:sz="0" w:space="0" w:color="auto"/>
        <w:right w:val="none" w:sz="0" w:space="0" w:color="auto"/>
      </w:divBdr>
    </w:div>
    <w:div w:id="124275748">
      <w:bodyDiv w:val="1"/>
      <w:marLeft w:val="0"/>
      <w:marRight w:val="0"/>
      <w:marTop w:val="0"/>
      <w:marBottom w:val="0"/>
      <w:divBdr>
        <w:top w:val="none" w:sz="0" w:space="0" w:color="auto"/>
        <w:left w:val="none" w:sz="0" w:space="0" w:color="auto"/>
        <w:bottom w:val="none" w:sz="0" w:space="0" w:color="auto"/>
        <w:right w:val="none" w:sz="0" w:space="0" w:color="auto"/>
      </w:divBdr>
    </w:div>
    <w:div w:id="126246480">
      <w:bodyDiv w:val="1"/>
      <w:marLeft w:val="0"/>
      <w:marRight w:val="0"/>
      <w:marTop w:val="0"/>
      <w:marBottom w:val="0"/>
      <w:divBdr>
        <w:top w:val="none" w:sz="0" w:space="0" w:color="auto"/>
        <w:left w:val="none" w:sz="0" w:space="0" w:color="auto"/>
        <w:bottom w:val="none" w:sz="0" w:space="0" w:color="auto"/>
        <w:right w:val="none" w:sz="0" w:space="0" w:color="auto"/>
      </w:divBdr>
    </w:div>
    <w:div w:id="141579346">
      <w:bodyDiv w:val="1"/>
      <w:marLeft w:val="0"/>
      <w:marRight w:val="0"/>
      <w:marTop w:val="0"/>
      <w:marBottom w:val="0"/>
      <w:divBdr>
        <w:top w:val="none" w:sz="0" w:space="0" w:color="auto"/>
        <w:left w:val="none" w:sz="0" w:space="0" w:color="auto"/>
        <w:bottom w:val="none" w:sz="0" w:space="0" w:color="auto"/>
        <w:right w:val="none" w:sz="0" w:space="0" w:color="auto"/>
      </w:divBdr>
    </w:div>
    <w:div w:id="144861815">
      <w:bodyDiv w:val="1"/>
      <w:marLeft w:val="0"/>
      <w:marRight w:val="0"/>
      <w:marTop w:val="0"/>
      <w:marBottom w:val="0"/>
      <w:divBdr>
        <w:top w:val="none" w:sz="0" w:space="0" w:color="auto"/>
        <w:left w:val="none" w:sz="0" w:space="0" w:color="auto"/>
        <w:bottom w:val="none" w:sz="0" w:space="0" w:color="auto"/>
        <w:right w:val="none" w:sz="0" w:space="0" w:color="auto"/>
      </w:divBdr>
    </w:div>
    <w:div w:id="151877059">
      <w:bodyDiv w:val="1"/>
      <w:marLeft w:val="0"/>
      <w:marRight w:val="0"/>
      <w:marTop w:val="0"/>
      <w:marBottom w:val="0"/>
      <w:divBdr>
        <w:top w:val="none" w:sz="0" w:space="0" w:color="auto"/>
        <w:left w:val="none" w:sz="0" w:space="0" w:color="auto"/>
        <w:bottom w:val="none" w:sz="0" w:space="0" w:color="auto"/>
        <w:right w:val="none" w:sz="0" w:space="0" w:color="auto"/>
      </w:divBdr>
    </w:div>
    <w:div w:id="154490734">
      <w:bodyDiv w:val="1"/>
      <w:marLeft w:val="0"/>
      <w:marRight w:val="0"/>
      <w:marTop w:val="0"/>
      <w:marBottom w:val="0"/>
      <w:divBdr>
        <w:top w:val="none" w:sz="0" w:space="0" w:color="auto"/>
        <w:left w:val="none" w:sz="0" w:space="0" w:color="auto"/>
        <w:bottom w:val="none" w:sz="0" w:space="0" w:color="auto"/>
        <w:right w:val="none" w:sz="0" w:space="0" w:color="auto"/>
      </w:divBdr>
    </w:div>
    <w:div w:id="162551845">
      <w:bodyDiv w:val="1"/>
      <w:marLeft w:val="0"/>
      <w:marRight w:val="0"/>
      <w:marTop w:val="0"/>
      <w:marBottom w:val="0"/>
      <w:divBdr>
        <w:top w:val="none" w:sz="0" w:space="0" w:color="auto"/>
        <w:left w:val="none" w:sz="0" w:space="0" w:color="auto"/>
        <w:bottom w:val="none" w:sz="0" w:space="0" w:color="auto"/>
        <w:right w:val="none" w:sz="0" w:space="0" w:color="auto"/>
      </w:divBdr>
    </w:div>
    <w:div w:id="176893465">
      <w:bodyDiv w:val="1"/>
      <w:marLeft w:val="0"/>
      <w:marRight w:val="0"/>
      <w:marTop w:val="0"/>
      <w:marBottom w:val="0"/>
      <w:divBdr>
        <w:top w:val="none" w:sz="0" w:space="0" w:color="auto"/>
        <w:left w:val="none" w:sz="0" w:space="0" w:color="auto"/>
        <w:bottom w:val="none" w:sz="0" w:space="0" w:color="auto"/>
        <w:right w:val="none" w:sz="0" w:space="0" w:color="auto"/>
      </w:divBdr>
    </w:div>
    <w:div w:id="182477471">
      <w:bodyDiv w:val="1"/>
      <w:marLeft w:val="0"/>
      <w:marRight w:val="0"/>
      <w:marTop w:val="0"/>
      <w:marBottom w:val="0"/>
      <w:divBdr>
        <w:top w:val="none" w:sz="0" w:space="0" w:color="auto"/>
        <w:left w:val="none" w:sz="0" w:space="0" w:color="auto"/>
        <w:bottom w:val="none" w:sz="0" w:space="0" w:color="auto"/>
        <w:right w:val="none" w:sz="0" w:space="0" w:color="auto"/>
      </w:divBdr>
    </w:div>
    <w:div w:id="183860415">
      <w:bodyDiv w:val="1"/>
      <w:marLeft w:val="0"/>
      <w:marRight w:val="0"/>
      <w:marTop w:val="0"/>
      <w:marBottom w:val="0"/>
      <w:divBdr>
        <w:top w:val="none" w:sz="0" w:space="0" w:color="auto"/>
        <w:left w:val="none" w:sz="0" w:space="0" w:color="auto"/>
        <w:bottom w:val="none" w:sz="0" w:space="0" w:color="auto"/>
        <w:right w:val="none" w:sz="0" w:space="0" w:color="auto"/>
      </w:divBdr>
    </w:div>
    <w:div w:id="200630373">
      <w:bodyDiv w:val="1"/>
      <w:marLeft w:val="0"/>
      <w:marRight w:val="0"/>
      <w:marTop w:val="0"/>
      <w:marBottom w:val="0"/>
      <w:divBdr>
        <w:top w:val="none" w:sz="0" w:space="0" w:color="auto"/>
        <w:left w:val="none" w:sz="0" w:space="0" w:color="auto"/>
        <w:bottom w:val="none" w:sz="0" w:space="0" w:color="auto"/>
        <w:right w:val="none" w:sz="0" w:space="0" w:color="auto"/>
      </w:divBdr>
    </w:div>
    <w:div w:id="201288600">
      <w:bodyDiv w:val="1"/>
      <w:marLeft w:val="0"/>
      <w:marRight w:val="0"/>
      <w:marTop w:val="0"/>
      <w:marBottom w:val="0"/>
      <w:divBdr>
        <w:top w:val="none" w:sz="0" w:space="0" w:color="auto"/>
        <w:left w:val="none" w:sz="0" w:space="0" w:color="auto"/>
        <w:bottom w:val="none" w:sz="0" w:space="0" w:color="auto"/>
        <w:right w:val="none" w:sz="0" w:space="0" w:color="auto"/>
      </w:divBdr>
    </w:div>
    <w:div w:id="230119005">
      <w:bodyDiv w:val="1"/>
      <w:marLeft w:val="0"/>
      <w:marRight w:val="0"/>
      <w:marTop w:val="0"/>
      <w:marBottom w:val="0"/>
      <w:divBdr>
        <w:top w:val="none" w:sz="0" w:space="0" w:color="auto"/>
        <w:left w:val="none" w:sz="0" w:space="0" w:color="auto"/>
        <w:bottom w:val="none" w:sz="0" w:space="0" w:color="auto"/>
        <w:right w:val="none" w:sz="0" w:space="0" w:color="auto"/>
      </w:divBdr>
    </w:div>
    <w:div w:id="239218235">
      <w:bodyDiv w:val="1"/>
      <w:marLeft w:val="0"/>
      <w:marRight w:val="0"/>
      <w:marTop w:val="0"/>
      <w:marBottom w:val="0"/>
      <w:divBdr>
        <w:top w:val="none" w:sz="0" w:space="0" w:color="auto"/>
        <w:left w:val="none" w:sz="0" w:space="0" w:color="auto"/>
        <w:bottom w:val="none" w:sz="0" w:space="0" w:color="auto"/>
        <w:right w:val="none" w:sz="0" w:space="0" w:color="auto"/>
      </w:divBdr>
    </w:div>
    <w:div w:id="245921180">
      <w:bodyDiv w:val="1"/>
      <w:marLeft w:val="0"/>
      <w:marRight w:val="0"/>
      <w:marTop w:val="0"/>
      <w:marBottom w:val="0"/>
      <w:divBdr>
        <w:top w:val="none" w:sz="0" w:space="0" w:color="auto"/>
        <w:left w:val="none" w:sz="0" w:space="0" w:color="auto"/>
        <w:bottom w:val="none" w:sz="0" w:space="0" w:color="auto"/>
        <w:right w:val="none" w:sz="0" w:space="0" w:color="auto"/>
      </w:divBdr>
    </w:div>
    <w:div w:id="257518064">
      <w:bodyDiv w:val="1"/>
      <w:marLeft w:val="0"/>
      <w:marRight w:val="0"/>
      <w:marTop w:val="0"/>
      <w:marBottom w:val="0"/>
      <w:divBdr>
        <w:top w:val="none" w:sz="0" w:space="0" w:color="auto"/>
        <w:left w:val="none" w:sz="0" w:space="0" w:color="auto"/>
        <w:bottom w:val="none" w:sz="0" w:space="0" w:color="auto"/>
        <w:right w:val="none" w:sz="0" w:space="0" w:color="auto"/>
      </w:divBdr>
    </w:div>
    <w:div w:id="258299116">
      <w:bodyDiv w:val="1"/>
      <w:marLeft w:val="0"/>
      <w:marRight w:val="0"/>
      <w:marTop w:val="0"/>
      <w:marBottom w:val="0"/>
      <w:divBdr>
        <w:top w:val="none" w:sz="0" w:space="0" w:color="auto"/>
        <w:left w:val="none" w:sz="0" w:space="0" w:color="auto"/>
        <w:bottom w:val="none" w:sz="0" w:space="0" w:color="auto"/>
        <w:right w:val="none" w:sz="0" w:space="0" w:color="auto"/>
      </w:divBdr>
    </w:div>
    <w:div w:id="268582960">
      <w:bodyDiv w:val="1"/>
      <w:marLeft w:val="0"/>
      <w:marRight w:val="0"/>
      <w:marTop w:val="0"/>
      <w:marBottom w:val="0"/>
      <w:divBdr>
        <w:top w:val="none" w:sz="0" w:space="0" w:color="auto"/>
        <w:left w:val="none" w:sz="0" w:space="0" w:color="auto"/>
        <w:bottom w:val="none" w:sz="0" w:space="0" w:color="auto"/>
        <w:right w:val="none" w:sz="0" w:space="0" w:color="auto"/>
      </w:divBdr>
    </w:div>
    <w:div w:id="269817707">
      <w:bodyDiv w:val="1"/>
      <w:marLeft w:val="0"/>
      <w:marRight w:val="0"/>
      <w:marTop w:val="0"/>
      <w:marBottom w:val="0"/>
      <w:divBdr>
        <w:top w:val="none" w:sz="0" w:space="0" w:color="auto"/>
        <w:left w:val="none" w:sz="0" w:space="0" w:color="auto"/>
        <w:bottom w:val="none" w:sz="0" w:space="0" w:color="auto"/>
        <w:right w:val="none" w:sz="0" w:space="0" w:color="auto"/>
      </w:divBdr>
    </w:div>
    <w:div w:id="293026939">
      <w:bodyDiv w:val="1"/>
      <w:marLeft w:val="0"/>
      <w:marRight w:val="0"/>
      <w:marTop w:val="0"/>
      <w:marBottom w:val="0"/>
      <w:divBdr>
        <w:top w:val="none" w:sz="0" w:space="0" w:color="auto"/>
        <w:left w:val="none" w:sz="0" w:space="0" w:color="auto"/>
        <w:bottom w:val="none" w:sz="0" w:space="0" w:color="auto"/>
        <w:right w:val="none" w:sz="0" w:space="0" w:color="auto"/>
      </w:divBdr>
    </w:div>
    <w:div w:id="293171407">
      <w:bodyDiv w:val="1"/>
      <w:marLeft w:val="0"/>
      <w:marRight w:val="0"/>
      <w:marTop w:val="0"/>
      <w:marBottom w:val="0"/>
      <w:divBdr>
        <w:top w:val="none" w:sz="0" w:space="0" w:color="auto"/>
        <w:left w:val="none" w:sz="0" w:space="0" w:color="auto"/>
        <w:bottom w:val="none" w:sz="0" w:space="0" w:color="auto"/>
        <w:right w:val="none" w:sz="0" w:space="0" w:color="auto"/>
      </w:divBdr>
    </w:div>
    <w:div w:id="304042774">
      <w:bodyDiv w:val="1"/>
      <w:marLeft w:val="0"/>
      <w:marRight w:val="0"/>
      <w:marTop w:val="0"/>
      <w:marBottom w:val="0"/>
      <w:divBdr>
        <w:top w:val="none" w:sz="0" w:space="0" w:color="auto"/>
        <w:left w:val="none" w:sz="0" w:space="0" w:color="auto"/>
        <w:bottom w:val="none" w:sz="0" w:space="0" w:color="auto"/>
        <w:right w:val="none" w:sz="0" w:space="0" w:color="auto"/>
      </w:divBdr>
    </w:div>
    <w:div w:id="308484944">
      <w:bodyDiv w:val="1"/>
      <w:marLeft w:val="0"/>
      <w:marRight w:val="0"/>
      <w:marTop w:val="0"/>
      <w:marBottom w:val="0"/>
      <w:divBdr>
        <w:top w:val="none" w:sz="0" w:space="0" w:color="auto"/>
        <w:left w:val="none" w:sz="0" w:space="0" w:color="auto"/>
        <w:bottom w:val="none" w:sz="0" w:space="0" w:color="auto"/>
        <w:right w:val="none" w:sz="0" w:space="0" w:color="auto"/>
      </w:divBdr>
    </w:div>
    <w:div w:id="311374259">
      <w:bodyDiv w:val="1"/>
      <w:marLeft w:val="0"/>
      <w:marRight w:val="0"/>
      <w:marTop w:val="0"/>
      <w:marBottom w:val="0"/>
      <w:divBdr>
        <w:top w:val="none" w:sz="0" w:space="0" w:color="auto"/>
        <w:left w:val="none" w:sz="0" w:space="0" w:color="auto"/>
        <w:bottom w:val="none" w:sz="0" w:space="0" w:color="auto"/>
        <w:right w:val="none" w:sz="0" w:space="0" w:color="auto"/>
      </w:divBdr>
    </w:div>
    <w:div w:id="320814230">
      <w:bodyDiv w:val="1"/>
      <w:marLeft w:val="0"/>
      <w:marRight w:val="0"/>
      <w:marTop w:val="0"/>
      <w:marBottom w:val="0"/>
      <w:divBdr>
        <w:top w:val="none" w:sz="0" w:space="0" w:color="auto"/>
        <w:left w:val="none" w:sz="0" w:space="0" w:color="auto"/>
        <w:bottom w:val="none" w:sz="0" w:space="0" w:color="auto"/>
        <w:right w:val="none" w:sz="0" w:space="0" w:color="auto"/>
      </w:divBdr>
    </w:div>
    <w:div w:id="321549195">
      <w:bodyDiv w:val="1"/>
      <w:marLeft w:val="0"/>
      <w:marRight w:val="0"/>
      <w:marTop w:val="0"/>
      <w:marBottom w:val="0"/>
      <w:divBdr>
        <w:top w:val="none" w:sz="0" w:space="0" w:color="auto"/>
        <w:left w:val="none" w:sz="0" w:space="0" w:color="auto"/>
        <w:bottom w:val="none" w:sz="0" w:space="0" w:color="auto"/>
        <w:right w:val="none" w:sz="0" w:space="0" w:color="auto"/>
      </w:divBdr>
    </w:div>
    <w:div w:id="348070114">
      <w:bodyDiv w:val="1"/>
      <w:marLeft w:val="0"/>
      <w:marRight w:val="0"/>
      <w:marTop w:val="0"/>
      <w:marBottom w:val="0"/>
      <w:divBdr>
        <w:top w:val="none" w:sz="0" w:space="0" w:color="auto"/>
        <w:left w:val="none" w:sz="0" w:space="0" w:color="auto"/>
        <w:bottom w:val="none" w:sz="0" w:space="0" w:color="auto"/>
        <w:right w:val="none" w:sz="0" w:space="0" w:color="auto"/>
      </w:divBdr>
    </w:div>
    <w:div w:id="349453599">
      <w:bodyDiv w:val="1"/>
      <w:marLeft w:val="0"/>
      <w:marRight w:val="0"/>
      <w:marTop w:val="0"/>
      <w:marBottom w:val="0"/>
      <w:divBdr>
        <w:top w:val="none" w:sz="0" w:space="0" w:color="auto"/>
        <w:left w:val="none" w:sz="0" w:space="0" w:color="auto"/>
        <w:bottom w:val="none" w:sz="0" w:space="0" w:color="auto"/>
        <w:right w:val="none" w:sz="0" w:space="0" w:color="auto"/>
      </w:divBdr>
    </w:div>
    <w:div w:id="370419664">
      <w:bodyDiv w:val="1"/>
      <w:marLeft w:val="0"/>
      <w:marRight w:val="0"/>
      <w:marTop w:val="0"/>
      <w:marBottom w:val="0"/>
      <w:divBdr>
        <w:top w:val="none" w:sz="0" w:space="0" w:color="auto"/>
        <w:left w:val="none" w:sz="0" w:space="0" w:color="auto"/>
        <w:bottom w:val="none" w:sz="0" w:space="0" w:color="auto"/>
        <w:right w:val="none" w:sz="0" w:space="0" w:color="auto"/>
      </w:divBdr>
    </w:div>
    <w:div w:id="381945403">
      <w:bodyDiv w:val="1"/>
      <w:marLeft w:val="0"/>
      <w:marRight w:val="0"/>
      <w:marTop w:val="0"/>
      <w:marBottom w:val="0"/>
      <w:divBdr>
        <w:top w:val="none" w:sz="0" w:space="0" w:color="auto"/>
        <w:left w:val="none" w:sz="0" w:space="0" w:color="auto"/>
        <w:bottom w:val="none" w:sz="0" w:space="0" w:color="auto"/>
        <w:right w:val="none" w:sz="0" w:space="0" w:color="auto"/>
      </w:divBdr>
    </w:div>
    <w:div w:id="383020802">
      <w:bodyDiv w:val="1"/>
      <w:marLeft w:val="0"/>
      <w:marRight w:val="0"/>
      <w:marTop w:val="0"/>
      <w:marBottom w:val="0"/>
      <w:divBdr>
        <w:top w:val="none" w:sz="0" w:space="0" w:color="auto"/>
        <w:left w:val="none" w:sz="0" w:space="0" w:color="auto"/>
        <w:bottom w:val="none" w:sz="0" w:space="0" w:color="auto"/>
        <w:right w:val="none" w:sz="0" w:space="0" w:color="auto"/>
      </w:divBdr>
    </w:div>
    <w:div w:id="395133662">
      <w:bodyDiv w:val="1"/>
      <w:marLeft w:val="0"/>
      <w:marRight w:val="0"/>
      <w:marTop w:val="0"/>
      <w:marBottom w:val="0"/>
      <w:divBdr>
        <w:top w:val="none" w:sz="0" w:space="0" w:color="auto"/>
        <w:left w:val="none" w:sz="0" w:space="0" w:color="auto"/>
        <w:bottom w:val="none" w:sz="0" w:space="0" w:color="auto"/>
        <w:right w:val="none" w:sz="0" w:space="0" w:color="auto"/>
      </w:divBdr>
    </w:div>
    <w:div w:id="397358848">
      <w:bodyDiv w:val="1"/>
      <w:marLeft w:val="0"/>
      <w:marRight w:val="0"/>
      <w:marTop w:val="0"/>
      <w:marBottom w:val="0"/>
      <w:divBdr>
        <w:top w:val="none" w:sz="0" w:space="0" w:color="auto"/>
        <w:left w:val="none" w:sz="0" w:space="0" w:color="auto"/>
        <w:bottom w:val="none" w:sz="0" w:space="0" w:color="auto"/>
        <w:right w:val="none" w:sz="0" w:space="0" w:color="auto"/>
      </w:divBdr>
    </w:div>
    <w:div w:id="400644457">
      <w:bodyDiv w:val="1"/>
      <w:marLeft w:val="0"/>
      <w:marRight w:val="0"/>
      <w:marTop w:val="0"/>
      <w:marBottom w:val="0"/>
      <w:divBdr>
        <w:top w:val="none" w:sz="0" w:space="0" w:color="auto"/>
        <w:left w:val="none" w:sz="0" w:space="0" w:color="auto"/>
        <w:bottom w:val="none" w:sz="0" w:space="0" w:color="auto"/>
        <w:right w:val="none" w:sz="0" w:space="0" w:color="auto"/>
      </w:divBdr>
    </w:div>
    <w:div w:id="403458698">
      <w:bodyDiv w:val="1"/>
      <w:marLeft w:val="0"/>
      <w:marRight w:val="0"/>
      <w:marTop w:val="0"/>
      <w:marBottom w:val="0"/>
      <w:divBdr>
        <w:top w:val="none" w:sz="0" w:space="0" w:color="auto"/>
        <w:left w:val="none" w:sz="0" w:space="0" w:color="auto"/>
        <w:bottom w:val="none" w:sz="0" w:space="0" w:color="auto"/>
        <w:right w:val="none" w:sz="0" w:space="0" w:color="auto"/>
      </w:divBdr>
    </w:div>
    <w:div w:id="414976483">
      <w:bodyDiv w:val="1"/>
      <w:marLeft w:val="0"/>
      <w:marRight w:val="0"/>
      <w:marTop w:val="0"/>
      <w:marBottom w:val="0"/>
      <w:divBdr>
        <w:top w:val="none" w:sz="0" w:space="0" w:color="auto"/>
        <w:left w:val="none" w:sz="0" w:space="0" w:color="auto"/>
        <w:bottom w:val="none" w:sz="0" w:space="0" w:color="auto"/>
        <w:right w:val="none" w:sz="0" w:space="0" w:color="auto"/>
      </w:divBdr>
    </w:div>
    <w:div w:id="417867195">
      <w:bodyDiv w:val="1"/>
      <w:marLeft w:val="0"/>
      <w:marRight w:val="0"/>
      <w:marTop w:val="0"/>
      <w:marBottom w:val="0"/>
      <w:divBdr>
        <w:top w:val="none" w:sz="0" w:space="0" w:color="auto"/>
        <w:left w:val="none" w:sz="0" w:space="0" w:color="auto"/>
        <w:bottom w:val="none" w:sz="0" w:space="0" w:color="auto"/>
        <w:right w:val="none" w:sz="0" w:space="0" w:color="auto"/>
      </w:divBdr>
    </w:div>
    <w:div w:id="417943761">
      <w:bodyDiv w:val="1"/>
      <w:marLeft w:val="0"/>
      <w:marRight w:val="0"/>
      <w:marTop w:val="0"/>
      <w:marBottom w:val="0"/>
      <w:divBdr>
        <w:top w:val="none" w:sz="0" w:space="0" w:color="auto"/>
        <w:left w:val="none" w:sz="0" w:space="0" w:color="auto"/>
        <w:bottom w:val="none" w:sz="0" w:space="0" w:color="auto"/>
        <w:right w:val="none" w:sz="0" w:space="0" w:color="auto"/>
      </w:divBdr>
    </w:div>
    <w:div w:id="422184701">
      <w:bodyDiv w:val="1"/>
      <w:marLeft w:val="0"/>
      <w:marRight w:val="0"/>
      <w:marTop w:val="0"/>
      <w:marBottom w:val="0"/>
      <w:divBdr>
        <w:top w:val="none" w:sz="0" w:space="0" w:color="auto"/>
        <w:left w:val="none" w:sz="0" w:space="0" w:color="auto"/>
        <w:bottom w:val="none" w:sz="0" w:space="0" w:color="auto"/>
        <w:right w:val="none" w:sz="0" w:space="0" w:color="auto"/>
      </w:divBdr>
    </w:div>
    <w:div w:id="438450927">
      <w:bodyDiv w:val="1"/>
      <w:marLeft w:val="0"/>
      <w:marRight w:val="0"/>
      <w:marTop w:val="0"/>
      <w:marBottom w:val="0"/>
      <w:divBdr>
        <w:top w:val="none" w:sz="0" w:space="0" w:color="auto"/>
        <w:left w:val="none" w:sz="0" w:space="0" w:color="auto"/>
        <w:bottom w:val="none" w:sz="0" w:space="0" w:color="auto"/>
        <w:right w:val="none" w:sz="0" w:space="0" w:color="auto"/>
      </w:divBdr>
    </w:div>
    <w:div w:id="451049724">
      <w:bodyDiv w:val="1"/>
      <w:marLeft w:val="0"/>
      <w:marRight w:val="0"/>
      <w:marTop w:val="0"/>
      <w:marBottom w:val="0"/>
      <w:divBdr>
        <w:top w:val="none" w:sz="0" w:space="0" w:color="auto"/>
        <w:left w:val="none" w:sz="0" w:space="0" w:color="auto"/>
        <w:bottom w:val="none" w:sz="0" w:space="0" w:color="auto"/>
        <w:right w:val="none" w:sz="0" w:space="0" w:color="auto"/>
      </w:divBdr>
    </w:div>
    <w:div w:id="466700540">
      <w:bodyDiv w:val="1"/>
      <w:marLeft w:val="0"/>
      <w:marRight w:val="0"/>
      <w:marTop w:val="0"/>
      <w:marBottom w:val="0"/>
      <w:divBdr>
        <w:top w:val="none" w:sz="0" w:space="0" w:color="auto"/>
        <w:left w:val="none" w:sz="0" w:space="0" w:color="auto"/>
        <w:bottom w:val="none" w:sz="0" w:space="0" w:color="auto"/>
        <w:right w:val="none" w:sz="0" w:space="0" w:color="auto"/>
      </w:divBdr>
    </w:div>
    <w:div w:id="468984874">
      <w:bodyDiv w:val="1"/>
      <w:marLeft w:val="0"/>
      <w:marRight w:val="0"/>
      <w:marTop w:val="0"/>
      <w:marBottom w:val="0"/>
      <w:divBdr>
        <w:top w:val="none" w:sz="0" w:space="0" w:color="auto"/>
        <w:left w:val="none" w:sz="0" w:space="0" w:color="auto"/>
        <w:bottom w:val="none" w:sz="0" w:space="0" w:color="auto"/>
        <w:right w:val="none" w:sz="0" w:space="0" w:color="auto"/>
      </w:divBdr>
    </w:div>
    <w:div w:id="469058245">
      <w:bodyDiv w:val="1"/>
      <w:marLeft w:val="0"/>
      <w:marRight w:val="0"/>
      <w:marTop w:val="0"/>
      <w:marBottom w:val="0"/>
      <w:divBdr>
        <w:top w:val="none" w:sz="0" w:space="0" w:color="auto"/>
        <w:left w:val="none" w:sz="0" w:space="0" w:color="auto"/>
        <w:bottom w:val="none" w:sz="0" w:space="0" w:color="auto"/>
        <w:right w:val="none" w:sz="0" w:space="0" w:color="auto"/>
      </w:divBdr>
      <w:divsChild>
        <w:div w:id="115874885">
          <w:marLeft w:val="0"/>
          <w:marRight w:val="0"/>
          <w:marTop w:val="0"/>
          <w:marBottom w:val="0"/>
          <w:divBdr>
            <w:top w:val="none" w:sz="0" w:space="0" w:color="auto"/>
            <w:left w:val="none" w:sz="0" w:space="0" w:color="auto"/>
            <w:bottom w:val="none" w:sz="0" w:space="0" w:color="auto"/>
            <w:right w:val="none" w:sz="0" w:space="0" w:color="auto"/>
          </w:divBdr>
          <w:divsChild>
            <w:div w:id="634019326">
              <w:marLeft w:val="0"/>
              <w:marRight w:val="0"/>
              <w:marTop w:val="0"/>
              <w:marBottom w:val="0"/>
              <w:divBdr>
                <w:top w:val="none" w:sz="0" w:space="0" w:color="auto"/>
                <w:left w:val="none" w:sz="0" w:space="0" w:color="auto"/>
                <w:bottom w:val="none" w:sz="0" w:space="0" w:color="auto"/>
                <w:right w:val="none" w:sz="0" w:space="0" w:color="auto"/>
              </w:divBdr>
              <w:divsChild>
                <w:div w:id="1196187788">
                  <w:marLeft w:val="0"/>
                  <w:marRight w:val="0"/>
                  <w:marTop w:val="0"/>
                  <w:marBottom w:val="0"/>
                  <w:divBdr>
                    <w:top w:val="none" w:sz="0" w:space="0" w:color="auto"/>
                    <w:left w:val="none" w:sz="0" w:space="0" w:color="auto"/>
                    <w:bottom w:val="none" w:sz="0" w:space="0" w:color="auto"/>
                    <w:right w:val="none" w:sz="0" w:space="0" w:color="auto"/>
                  </w:divBdr>
                  <w:divsChild>
                    <w:div w:id="1329481214">
                      <w:marLeft w:val="0"/>
                      <w:marRight w:val="0"/>
                      <w:marTop w:val="0"/>
                      <w:marBottom w:val="0"/>
                      <w:divBdr>
                        <w:top w:val="none" w:sz="0" w:space="0" w:color="auto"/>
                        <w:left w:val="none" w:sz="0" w:space="0" w:color="auto"/>
                        <w:bottom w:val="none" w:sz="0" w:space="0" w:color="auto"/>
                        <w:right w:val="none" w:sz="0" w:space="0" w:color="auto"/>
                      </w:divBdr>
                      <w:divsChild>
                        <w:div w:id="2139639519">
                          <w:marLeft w:val="0"/>
                          <w:marRight w:val="0"/>
                          <w:marTop w:val="0"/>
                          <w:marBottom w:val="0"/>
                          <w:divBdr>
                            <w:top w:val="none" w:sz="0" w:space="0" w:color="auto"/>
                            <w:left w:val="none" w:sz="0" w:space="0" w:color="auto"/>
                            <w:bottom w:val="none" w:sz="0" w:space="0" w:color="auto"/>
                            <w:right w:val="none" w:sz="0" w:space="0" w:color="auto"/>
                          </w:divBdr>
                          <w:divsChild>
                            <w:div w:id="180997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971">
                  <w:marLeft w:val="0"/>
                  <w:marRight w:val="0"/>
                  <w:marTop w:val="0"/>
                  <w:marBottom w:val="0"/>
                  <w:divBdr>
                    <w:top w:val="none" w:sz="0" w:space="0" w:color="auto"/>
                    <w:left w:val="none" w:sz="0" w:space="0" w:color="auto"/>
                    <w:bottom w:val="none" w:sz="0" w:space="0" w:color="auto"/>
                    <w:right w:val="none" w:sz="0" w:space="0" w:color="auto"/>
                  </w:divBdr>
                  <w:divsChild>
                    <w:div w:id="19860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654300">
      <w:bodyDiv w:val="1"/>
      <w:marLeft w:val="0"/>
      <w:marRight w:val="0"/>
      <w:marTop w:val="0"/>
      <w:marBottom w:val="0"/>
      <w:divBdr>
        <w:top w:val="none" w:sz="0" w:space="0" w:color="auto"/>
        <w:left w:val="none" w:sz="0" w:space="0" w:color="auto"/>
        <w:bottom w:val="none" w:sz="0" w:space="0" w:color="auto"/>
        <w:right w:val="none" w:sz="0" w:space="0" w:color="auto"/>
      </w:divBdr>
    </w:div>
    <w:div w:id="479661688">
      <w:bodyDiv w:val="1"/>
      <w:marLeft w:val="0"/>
      <w:marRight w:val="0"/>
      <w:marTop w:val="0"/>
      <w:marBottom w:val="0"/>
      <w:divBdr>
        <w:top w:val="none" w:sz="0" w:space="0" w:color="auto"/>
        <w:left w:val="none" w:sz="0" w:space="0" w:color="auto"/>
        <w:bottom w:val="none" w:sz="0" w:space="0" w:color="auto"/>
        <w:right w:val="none" w:sz="0" w:space="0" w:color="auto"/>
      </w:divBdr>
    </w:div>
    <w:div w:id="480655368">
      <w:bodyDiv w:val="1"/>
      <w:marLeft w:val="0"/>
      <w:marRight w:val="0"/>
      <w:marTop w:val="0"/>
      <w:marBottom w:val="0"/>
      <w:divBdr>
        <w:top w:val="none" w:sz="0" w:space="0" w:color="auto"/>
        <w:left w:val="none" w:sz="0" w:space="0" w:color="auto"/>
        <w:bottom w:val="none" w:sz="0" w:space="0" w:color="auto"/>
        <w:right w:val="none" w:sz="0" w:space="0" w:color="auto"/>
      </w:divBdr>
    </w:div>
    <w:div w:id="487282713">
      <w:bodyDiv w:val="1"/>
      <w:marLeft w:val="0"/>
      <w:marRight w:val="0"/>
      <w:marTop w:val="0"/>
      <w:marBottom w:val="0"/>
      <w:divBdr>
        <w:top w:val="none" w:sz="0" w:space="0" w:color="auto"/>
        <w:left w:val="none" w:sz="0" w:space="0" w:color="auto"/>
        <w:bottom w:val="none" w:sz="0" w:space="0" w:color="auto"/>
        <w:right w:val="none" w:sz="0" w:space="0" w:color="auto"/>
      </w:divBdr>
    </w:div>
    <w:div w:id="497959815">
      <w:bodyDiv w:val="1"/>
      <w:marLeft w:val="0"/>
      <w:marRight w:val="0"/>
      <w:marTop w:val="0"/>
      <w:marBottom w:val="0"/>
      <w:divBdr>
        <w:top w:val="none" w:sz="0" w:space="0" w:color="auto"/>
        <w:left w:val="none" w:sz="0" w:space="0" w:color="auto"/>
        <w:bottom w:val="none" w:sz="0" w:space="0" w:color="auto"/>
        <w:right w:val="none" w:sz="0" w:space="0" w:color="auto"/>
      </w:divBdr>
    </w:div>
    <w:div w:id="512764645">
      <w:bodyDiv w:val="1"/>
      <w:marLeft w:val="0"/>
      <w:marRight w:val="0"/>
      <w:marTop w:val="0"/>
      <w:marBottom w:val="0"/>
      <w:divBdr>
        <w:top w:val="none" w:sz="0" w:space="0" w:color="auto"/>
        <w:left w:val="none" w:sz="0" w:space="0" w:color="auto"/>
        <w:bottom w:val="none" w:sz="0" w:space="0" w:color="auto"/>
        <w:right w:val="none" w:sz="0" w:space="0" w:color="auto"/>
      </w:divBdr>
    </w:div>
    <w:div w:id="518079822">
      <w:bodyDiv w:val="1"/>
      <w:marLeft w:val="0"/>
      <w:marRight w:val="0"/>
      <w:marTop w:val="0"/>
      <w:marBottom w:val="0"/>
      <w:divBdr>
        <w:top w:val="none" w:sz="0" w:space="0" w:color="auto"/>
        <w:left w:val="none" w:sz="0" w:space="0" w:color="auto"/>
        <w:bottom w:val="none" w:sz="0" w:space="0" w:color="auto"/>
        <w:right w:val="none" w:sz="0" w:space="0" w:color="auto"/>
      </w:divBdr>
    </w:div>
    <w:div w:id="522941013">
      <w:bodyDiv w:val="1"/>
      <w:marLeft w:val="0"/>
      <w:marRight w:val="0"/>
      <w:marTop w:val="0"/>
      <w:marBottom w:val="0"/>
      <w:divBdr>
        <w:top w:val="none" w:sz="0" w:space="0" w:color="auto"/>
        <w:left w:val="none" w:sz="0" w:space="0" w:color="auto"/>
        <w:bottom w:val="none" w:sz="0" w:space="0" w:color="auto"/>
        <w:right w:val="none" w:sz="0" w:space="0" w:color="auto"/>
      </w:divBdr>
    </w:div>
    <w:div w:id="524369090">
      <w:bodyDiv w:val="1"/>
      <w:marLeft w:val="0"/>
      <w:marRight w:val="0"/>
      <w:marTop w:val="0"/>
      <w:marBottom w:val="0"/>
      <w:divBdr>
        <w:top w:val="none" w:sz="0" w:space="0" w:color="auto"/>
        <w:left w:val="none" w:sz="0" w:space="0" w:color="auto"/>
        <w:bottom w:val="none" w:sz="0" w:space="0" w:color="auto"/>
        <w:right w:val="none" w:sz="0" w:space="0" w:color="auto"/>
      </w:divBdr>
    </w:div>
    <w:div w:id="536161541">
      <w:bodyDiv w:val="1"/>
      <w:marLeft w:val="0"/>
      <w:marRight w:val="0"/>
      <w:marTop w:val="0"/>
      <w:marBottom w:val="0"/>
      <w:divBdr>
        <w:top w:val="none" w:sz="0" w:space="0" w:color="auto"/>
        <w:left w:val="none" w:sz="0" w:space="0" w:color="auto"/>
        <w:bottom w:val="none" w:sz="0" w:space="0" w:color="auto"/>
        <w:right w:val="none" w:sz="0" w:space="0" w:color="auto"/>
      </w:divBdr>
    </w:div>
    <w:div w:id="544947456">
      <w:bodyDiv w:val="1"/>
      <w:marLeft w:val="0"/>
      <w:marRight w:val="0"/>
      <w:marTop w:val="0"/>
      <w:marBottom w:val="0"/>
      <w:divBdr>
        <w:top w:val="none" w:sz="0" w:space="0" w:color="auto"/>
        <w:left w:val="none" w:sz="0" w:space="0" w:color="auto"/>
        <w:bottom w:val="none" w:sz="0" w:space="0" w:color="auto"/>
        <w:right w:val="none" w:sz="0" w:space="0" w:color="auto"/>
      </w:divBdr>
    </w:div>
    <w:div w:id="548762497">
      <w:bodyDiv w:val="1"/>
      <w:marLeft w:val="0"/>
      <w:marRight w:val="0"/>
      <w:marTop w:val="0"/>
      <w:marBottom w:val="0"/>
      <w:divBdr>
        <w:top w:val="none" w:sz="0" w:space="0" w:color="auto"/>
        <w:left w:val="none" w:sz="0" w:space="0" w:color="auto"/>
        <w:bottom w:val="none" w:sz="0" w:space="0" w:color="auto"/>
        <w:right w:val="none" w:sz="0" w:space="0" w:color="auto"/>
      </w:divBdr>
    </w:div>
    <w:div w:id="562132771">
      <w:bodyDiv w:val="1"/>
      <w:marLeft w:val="0"/>
      <w:marRight w:val="0"/>
      <w:marTop w:val="0"/>
      <w:marBottom w:val="0"/>
      <w:divBdr>
        <w:top w:val="none" w:sz="0" w:space="0" w:color="auto"/>
        <w:left w:val="none" w:sz="0" w:space="0" w:color="auto"/>
        <w:bottom w:val="none" w:sz="0" w:space="0" w:color="auto"/>
        <w:right w:val="none" w:sz="0" w:space="0" w:color="auto"/>
      </w:divBdr>
    </w:div>
    <w:div w:id="562133795">
      <w:bodyDiv w:val="1"/>
      <w:marLeft w:val="0"/>
      <w:marRight w:val="0"/>
      <w:marTop w:val="0"/>
      <w:marBottom w:val="0"/>
      <w:divBdr>
        <w:top w:val="none" w:sz="0" w:space="0" w:color="auto"/>
        <w:left w:val="none" w:sz="0" w:space="0" w:color="auto"/>
        <w:bottom w:val="none" w:sz="0" w:space="0" w:color="auto"/>
        <w:right w:val="none" w:sz="0" w:space="0" w:color="auto"/>
      </w:divBdr>
    </w:div>
    <w:div w:id="564462019">
      <w:bodyDiv w:val="1"/>
      <w:marLeft w:val="0"/>
      <w:marRight w:val="0"/>
      <w:marTop w:val="0"/>
      <w:marBottom w:val="0"/>
      <w:divBdr>
        <w:top w:val="none" w:sz="0" w:space="0" w:color="auto"/>
        <w:left w:val="none" w:sz="0" w:space="0" w:color="auto"/>
        <w:bottom w:val="none" w:sz="0" w:space="0" w:color="auto"/>
        <w:right w:val="none" w:sz="0" w:space="0" w:color="auto"/>
      </w:divBdr>
    </w:div>
    <w:div w:id="568342612">
      <w:bodyDiv w:val="1"/>
      <w:marLeft w:val="0"/>
      <w:marRight w:val="0"/>
      <w:marTop w:val="0"/>
      <w:marBottom w:val="0"/>
      <w:divBdr>
        <w:top w:val="none" w:sz="0" w:space="0" w:color="auto"/>
        <w:left w:val="none" w:sz="0" w:space="0" w:color="auto"/>
        <w:bottom w:val="none" w:sz="0" w:space="0" w:color="auto"/>
        <w:right w:val="none" w:sz="0" w:space="0" w:color="auto"/>
      </w:divBdr>
    </w:div>
    <w:div w:id="589126035">
      <w:bodyDiv w:val="1"/>
      <w:marLeft w:val="0"/>
      <w:marRight w:val="0"/>
      <w:marTop w:val="0"/>
      <w:marBottom w:val="0"/>
      <w:divBdr>
        <w:top w:val="none" w:sz="0" w:space="0" w:color="auto"/>
        <w:left w:val="none" w:sz="0" w:space="0" w:color="auto"/>
        <w:bottom w:val="none" w:sz="0" w:space="0" w:color="auto"/>
        <w:right w:val="none" w:sz="0" w:space="0" w:color="auto"/>
      </w:divBdr>
    </w:div>
    <w:div w:id="594636340">
      <w:bodyDiv w:val="1"/>
      <w:marLeft w:val="0"/>
      <w:marRight w:val="0"/>
      <w:marTop w:val="0"/>
      <w:marBottom w:val="0"/>
      <w:divBdr>
        <w:top w:val="none" w:sz="0" w:space="0" w:color="auto"/>
        <w:left w:val="none" w:sz="0" w:space="0" w:color="auto"/>
        <w:bottom w:val="none" w:sz="0" w:space="0" w:color="auto"/>
        <w:right w:val="none" w:sz="0" w:space="0" w:color="auto"/>
      </w:divBdr>
    </w:div>
    <w:div w:id="597907734">
      <w:bodyDiv w:val="1"/>
      <w:marLeft w:val="0"/>
      <w:marRight w:val="0"/>
      <w:marTop w:val="0"/>
      <w:marBottom w:val="0"/>
      <w:divBdr>
        <w:top w:val="none" w:sz="0" w:space="0" w:color="auto"/>
        <w:left w:val="none" w:sz="0" w:space="0" w:color="auto"/>
        <w:bottom w:val="none" w:sz="0" w:space="0" w:color="auto"/>
        <w:right w:val="none" w:sz="0" w:space="0" w:color="auto"/>
      </w:divBdr>
    </w:div>
    <w:div w:id="605187222">
      <w:bodyDiv w:val="1"/>
      <w:marLeft w:val="0"/>
      <w:marRight w:val="0"/>
      <w:marTop w:val="0"/>
      <w:marBottom w:val="0"/>
      <w:divBdr>
        <w:top w:val="none" w:sz="0" w:space="0" w:color="auto"/>
        <w:left w:val="none" w:sz="0" w:space="0" w:color="auto"/>
        <w:bottom w:val="none" w:sz="0" w:space="0" w:color="auto"/>
        <w:right w:val="none" w:sz="0" w:space="0" w:color="auto"/>
      </w:divBdr>
    </w:div>
    <w:div w:id="609432939">
      <w:bodyDiv w:val="1"/>
      <w:marLeft w:val="0"/>
      <w:marRight w:val="0"/>
      <w:marTop w:val="0"/>
      <w:marBottom w:val="0"/>
      <w:divBdr>
        <w:top w:val="none" w:sz="0" w:space="0" w:color="auto"/>
        <w:left w:val="none" w:sz="0" w:space="0" w:color="auto"/>
        <w:bottom w:val="none" w:sz="0" w:space="0" w:color="auto"/>
        <w:right w:val="none" w:sz="0" w:space="0" w:color="auto"/>
      </w:divBdr>
    </w:div>
    <w:div w:id="624391738">
      <w:bodyDiv w:val="1"/>
      <w:marLeft w:val="0"/>
      <w:marRight w:val="0"/>
      <w:marTop w:val="0"/>
      <w:marBottom w:val="0"/>
      <w:divBdr>
        <w:top w:val="none" w:sz="0" w:space="0" w:color="auto"/>
        <w:left w:val="none" w:sz="0" w:space="0" w:color="auto"/>
        <w:bottom w:val="none" w:sz="0" w:space="0" w:color="auto"/>
        <w:right w:val="none" w:sz="0" w:space="0" w:color="auto"/>
      </w:divBdr>
    </w:div>
    <w:div w:id="626812997">
      <w:bodyDiv w:val="1"/>
      <w:marLeft w:val="0"/>
      <w:marRight w:val="0"/>
      <w:marTop w:val="0"/>
      <w:marBottom w:val="0"/>
      <w:divBdr>
        <w:top w:val="none" w:sz="0" w:space="0" w:color="auto"/>
        <w:left w:val="none" w:sz="0" w:space="0" w:color="auto"/>
        <w:bottom w:val="none" w:sz="0" w:space="0" w:color="auto"/>
        <w:right w:val="none" w:sz="0" w:space="0" w:color="auto"/>
      </w:divBdr>
    </w:div>
    <w:div w:id="626813434">
      <w:bodyDiv w:val="1"/>
      <w:marLeft w:val="0"/>
      <w:marRight w:val="0"/>
      <w:marTop w:val="0"/>
      <w:marBottom w:val="0"/>
      <w:divBdr>
        <w:top w:val="none" w:sz="0" w:space="0" w:color="auto"/>
        <w:left w:val="none" w:sz="0" w:space="0" w:color="auto"/>
        <w:bottom w:val="none" w:sz="0" w:space="0" w:color="auto"/>
        <w:right w:val="none" w:sz="0" w:space="0" w:color="auto"/>
      </w:divBdr>
    </w:div>
    <w:div w:id="631793853">
      <w:bodyDiv w:val="1"/>
      <w:marLeft w:val="0"/>
      <w:marRight w:val="0"/>
      <w:marTop w:val="0"/>
      <w:marBottom w:val="0"/>
      <w:divBdr>
        <w:top w:val="none" w:sz="0" w:space="0" w:color="auto"/>
        <w:left w:val="none" w:sz="0" w:space="0" w:color="auto"/>
        <w:bottom w:val="none" w:sz="0" w:space="0" w:color="auto"/>
        <w:right w:val="none" w:sz="0" w:space="0" w:color="auto"/>
      </w:divBdr>
    </w:div>
    <w:div w:id="654259294">
      <w:bodyDiv w:val="1"/>
      <w:marLeft w:val="0"/>
      <w:marRight w:val="0"/>
      <w:marTop w:val="0"/>
      <w:marBottom w:val="0"/>
      <w:divBdr>
        <w:top w:val="none" w:sz="0" w:space="0" w:color="auto"/>
        <w:left w:val="none" w:sz="0" w:space="0" w:color="auto"/>
        <w:bottom w:val="none" w:sz="0" w:space="0" w:color="auto"/>
        <w:right w:val="none" w:sz="0" w:space="0" w:color="auto"/>
      </w:divBdr>
    </w:div>
    <w:div w:id="664361199">
      <w:bodyDiv w:val="1"/>
      <w:marLeft w:val="0"/>
      <w:marRight w:val="0"/>
      <w:marTop w:val="0"/>
      <w:marBottom w:val="0"/>
      <w:divBdr>
        <w:top w:val="none" w:sz="0" w:space="0" w:color="auto"/>
        <w:left w:val="none" w:sz="0" w:space="0" w:color="auto"/>
        <w:bottom w:val="none" w:sz="0" w:space="0" w:color="auto"/>
        <w:right w:val="none" w:sz="0" w:space="0" w:color="auto"/>
      </w:divBdr>
    </w:div>
    <w:div w:id="666445929">
      <w:bodyDiv w:val="1"/>
      <w:marLeft w:val="0"/>
      <w:marRight w:val="0"/>
      <w:marTop w:val="0"/>
      <w:marBottom w:val="0"/>
      <w:divBdr>
        <w:top w:val="none" w:sz="0" w:space="0" w:color="auto"/>
        <w:left w:val="none" w:sz="0" w:space="0" w:color="auto"/>
        <w:bottom w:val="none" w:sz="0" w:space="0" w:color="auto"/>
        <w:right w:val="none" w:sz="0" w:space="0" w:color="auto"/>
      </w:divBdr>
    </w:div>
    <w:div w:id="669254678">
      <w:bodyDiv w:val="1"/>
      <w:marLeft w:val="0"/>
      <w:marRight w:val="0"/>
      <w:marTop w:val="0"/>
      <w:marBottom w:val="0"/>
      <w:divBdr>
        <w:top w:val="none" w:sz="0" w:space="0" w:color="auto"/>
        <w:left w:val="none" w:sz="0" w:space="0" w:color="auto"/>
        <w:bottom w:val="none" w:sz="0" w:space="0" w:color="auto"/>
        <w:right w:val="none" w:sz="0" w:space="0" w:color="auto"/>
      </w:divBdr>
    </w:div>
    <w:div w:id="677073822">
      <w:bodyDiv w:val="1"/>
      <w:marLeft w:val="0"/>
      <w:marRight w:val="0"/>
      <w:marTop w:val="0"/>
      <w:marBottom w:val="0"/>
      <w:divBdr>
        <w:top w:val="none" w:sz="0" w:space="0" w:color="auto"/>
        <w:left w:val="none" w:sz="0" w:space="0" w:color="auto"/>
        <w:bottom w:val="none" w:sz="0" w:space="0" w:color="auto"/>
        <w:right w:val="none" w:sz="0" w:space="0" w:color="auto"/>
      </w:divBdr>
    </w:div>
    <w:div w:id="677390476">
      <w:bodyDiv w:val="1"/>
      <w:marLeft w:val="0"/>
      <w:marRight w:val="0"/>
      <w:marTop w:val="0"/>
      <w:marBottom w:val="0"/>
      <w:divBdr>
        <w:top w:val="none" w:sz="0" w:space="0" w:color="auto"/>
        <w:left w:val="none" w:sz="0" w:space="0" w:color="auto"/>
        <w:bottom w:val="none" w:sz="0" w:space="0" w:color="auto"/>
        <w:right w:val="none" w:sz="0" w:space="0" w:color="auto"/>
      </w:divBdr>
    </w:div>
    <w:div w:id="682129079">
      <w:bodyDiv w:val="1"/>
      <w:marLeft w:val="0"/>
      <w:marRight w:val="0"/>
      <w:marTop w:val="0"/>
      <w:marBottom w:val="0"/>
      <w:divBdr>
        <w:top w:val="none" w:sz="0" w:space="0" w:color="auto"/>
        <w:left w:val="none" w:sz="0" w:space="0" w:color="auto"/>
        <w:bottom w:val="none" w:sz="0" w:space="0" w:color="auto"/>
        <w:right w:val="none" w:sz="0" w:space="0" w:color="auto"/>
      </w:divBdr>
    </w:div>
    <w:div w:id="686367533">
      <w:bodyDiv w:val="1"/>
      <w:marLeft w:val="0"/>
      <w:marRight w:val="0"/>
      <w:marTop w:val="0"/>
      <w:marBottom w:val="0"/>
      <w:divBdr>
        <w:top w:val="none" w:sz="0" w:space="0" w:color="auto"/>
        <w:left w:val="none" w:sz="0" w:space="0" w:color="auto"/>
        <w:bottom w:val="none" w:sz="0" w:space="0" w:color="auto"/>
        <w:right w:val="none" w:sz="0" w:space="0" w:color="auto"/>
      </w:divBdr>
    </w:div>
    <w:div w:id="689532577">
      <w:bodyDiv w:val="1"/>
      <w:marLeft w:val="0"/>
      <w:marRight w:val="0"/>
      <w:marTop w:val="0"/>
      <w:marBottom w:val="0"/>
      <w:divBdr>
        <w:top w:val="none" w:sz="0" w:space="0" w:color="auto"/>
        <w:left w:val="none" w:sz="0" w:space="0" w:color="auto"/>
        <w:bottom w:val="none" w:sz="0" w:space="0" w:color="auto"/>
        <w:right w:val="none" w:sz="0" w:space="0" w:color="auto"/>
      </w:divBdr>
    </w:div>
    <w:div w:id="694691466">
      <w:bodyDiv w:val="1"/>
      <w:marLeft w:val="0"/>
      <w:marRight w:val="0"/>
      <w:marTop w:val="0"/>
      <w:marBottom w:val="0"/>
      <w:divBdr>
        <w:top w:val="none" w:sz="0" w:space="0" w:color="auto"/>
        <w:left w:val="none" w:sz="0" w:space="0" w:color="auto"/>
        <w:bottom w:val="none" w:sz="0" w:space="0" w:color="auto"/>
        <w:right w:val="none" w:sz="0" w:space="0" w:color="auto"/>
      </w:divBdr>
    </w:div>
    <w:div w:id="699091970">
      <w:bodyDiv w:val="1"/>
      <w:marLeft w:val="0"/>
      <w:marRight w:val="0"/>
      <w:marTop w:val="0"/>
      <w:marBottom w:val="0"/>
      <w:divBdr>
        <w:top w:val="none" w:sz="0" w:space="0" w:color="auto"/>
        <w:left w:val="none" w:sz="0" w:space="0" w:color="auto"/>
        <w:bottom w:val="none" w:sz="0" w:space="0" w:color="auto"/>
        <w:right w:val="none" w:sz="0" w:space="0" w:color="auto"/>
      </w:divBdr>
    </w:div>
    <w:div w:id="715548705">
      <w:bodyDiv w:val="1"/>
      <w:marLeft w:val="0"/>
      <w:marRight w:val="0"/>
      <w:marTop w:val="0"/>
      <w:marBottom w:val="0"/>
      <w:divBdr>
        <w:top w:val="none" w:sz="0" w:space="0" w:color="auto"/>
        <w:left w:val="none" w:sz="0" w:space="0" w:color="auto"/>
        <w:bottom w:val="none" w:sz="0" w:space="0" w:color="auto"/>
        <w:right w:val="none" w:sz="0" w:space="0" w:color="auto"/>
      </w:divBdr>
    </w:div>
    <w:div w:id="724522510">
      <w:bodyDiv w:val="1"/>
      <w:marLeft w:val="0"/>
      <w:marRight w:val="0"/>
      <w:marTop w:val="0"/>
      <w:marBottom w:val="0"/>
      <w:divBdr>
        <w:top w:val="none" w:sz="0" w:space="0" w:color="auto"/>
        <w:left w:val="none" w:sz="0" w:space="0" w:color="auto"/>
        <w:bottom w:val="none" w:sz="0" w:space="0" w:color="auto"/>
        <w:right w:val="none" w:sz="0" w:space="0" w:color="auto"/>
      </w:divBdr>
    </w:div>
    <w:div w:id="728504651">
      <w:bodyDiv w:val="1"/>
      <w:marLeft w:val="0"/>
      <w:marRight w:val="0"/>
      <w:marTop w:val="0"/>
      <w:marBottom w:val="0"/>
      <w:divBdr>
        <w:top w:val="none" w:sz="0" w:space="0" w:color="auto"/>
        <w:left w:val="none" w:sz="0" w:space="0" w:color="auto"/>
        <w:bottom w:val="none" w:sz="0" w:space="0" w:color="auto"/>
        <w:right w:val="none" w:sz="0" w:space="0" w:color="auto"/>
      </w:divBdr>
    </w:div>
    <w:div w:id="742876433">
      <w:bodyDiv w:val="1"/>
      <w:marLeft w:val="0"/>
      <w:marRight w:val="0"/>
      <w:marTop w:val="0"/>
      <w:marBottom w:val="0"/>
      <w:divBdr>
        <w:top w:val="none" w:sz="0" w:space="0" w:color="auto"/>
        <w:left w:val="none" w:sz="0" w:space="0" w:color="auto"/>
        <w:bottom w:val="none" w:sz="0" w:space="0" w:color="auto"/>
        <w:right w:val="none" w:sz="0" w:space="0" w:color="auto"/>
      </w:divBdr>
    </w:div>
    <w:div w:id="752971910">
      <w:bodyDiv w:val="1"/>
      <w:marLeft w:val="0"/>
      <w:marRight w:val="0"/>
      <w:marTop w:val="0"/>
      <w:marBottom w:val="0"/>
      <w:divBdr>
        <w:top w:val="none" w:sz="0" w:space="0" w:color="auto"/>
        <w:left w:val="none" w:sz="0" w:space="0" w:color="auto"/>
        <w:bottom w:val="none" w:sz="0" w:space="0" w:color="auto"/>
        <w:right w:val="none" w:sz="0" w:space="0" w:color="auto"/>
      </w:divBdr>
    </w:div>
    <w:div w:id="763109034">
      <w:bodyDiv w:val="1"/>
      <w:marLeft w:val="0"/>
      <w:marRight w:val="0"/>
      <w:marTop w:val="0"/>
      <w:marBottom w:val="0"/>
      <w:divBdr>
        <w:top w:val="none" w:sz="0" w:space="0" w:color="auto"/>
        <w:left w:val="none" w:sz="0" w:space="0" w:color="auto"/>
        <w:bottom w:val="none" w:sz="0" w:space="0" w:color="auto"/>
        <w:right w:val="none" w:sz="0" w:space="0" w:color="auto"/>
      </w:divBdr>
    </w:div>
    <w:div w:id="781262250">
      <w:bodyDiv w:val="1"/>
      <w:marLeft w:val="0"/>
      <w:marRight w:val="0"/>
      <w:marTop w:val="0"/>
      <w:marBottom w:val="0"/>
      <w:divBdr>
        <w:top w:val="none" w:sz="0" w:space="0" w:color="auto"/>
        <w:left w:val="none" w:sz="0" w:space="0" w:color="auto"/>
        <w:bottom w:val="none" w:sz="0" w:space="0" w:color="auto"/>
        <w:right w:val="none" w:sz="0" w:space="0" w:color="auto"/>
      </w:divBdr>
    </w:div>
    <w:div w:id="799424551">
      <w:bodyDiv w:val="1"/>
      <w:marLeft w:val="0"/>
      <w:marRight w:val="0"/>
      <w:marTop w:val="0"/>
      <w:marBottom w:val="0"/>
      <w:divBdr>
        <w:top w:val="none" w:sz="0" w:space="0" w:color="auto"/>
        <w:left w:val="none" w:sz="0" w:space="0" w:color="auto"/>
        <w:bottom w:val="none" w:sz="0" w:space="0" w:color="auto"/>
        <w:right w:val="none" w:sz="0" w:space="0" w:color="auto"/>
      </w:divBdr>
    </w:div>
    <w:div w:id="799494825">
      <w:bodyDiv w:val="1"/>
      <w:marLeft w:val="0"/>
      <w:marRight w:val="0"/>
      <w:marTop w:val="0"/>
      <w:marBottom w:val="0"/>
      <w:divBdr>
        <w:top w:val="none" w:sz="0" w:space="0" w:color="auto"/>
        <w:left w:val="none" w:sz="0" w:space="0" w:color="auto"/>
        <w:bottom w:val="none" w:sz="0" w:space="0" w:color="auto"/>
        <w:right w:val="none" w:sz="0" w:space="0" w:color="auto"/>
      </w:divBdr>
    </w:div>
    <w:div w:id="809518937">
      <w:bodyDiv w:val="1"/>
      <w:marLeft w:val="0"/>
      <w:marRight w:val="0"/>
      <w:marTop w:val="0"/>
      <w:marBottom w:val="0"/>
      <w:divBdr>
        <w:top w:val="none" w:sz="0" w:space="0" w:color="auto"/>
        <w:left w:val="none" w:sz="0" w:space="0" w:color="auto"/>
        <w:bottom w:val="none" w:sz="0" w:space="0" w:color="auto"/>
        <w:right w:val="none" w:sz="0" w:space="0" w:color="auto"/>
      </w:divBdr>
    </w:div>
    <w:div w:id="814494569">
      <w:bodyDiv w:val="1"/>
      <w:marLeft w:val="0"/>
      <w:marRight w:val="0"/>
      <w:marTop w:val="0"/>
      <w:marBottom w:val="0"/>
      <w:divBdr>
        <w:top w:val="none" w:sz="0" w:space="0" w:color="auto"/>
        <w:left w:val="none" w:sz="0" w:space="0" w:color="auto"/>
        <w:bottom w:val="none" w:sz="0" w:space="0" w:color="auto"/>
        <w:right w:val="none" w:sz="0" w:space="0" w:color="auto"/>
      </w:divBdr>
    </w:div>
    <w:div w:id="817647930">
      <w:bodyDiv w:val="1"/>
      <w:marLeft w:val="0"/>
      <w:marRight w:val="0"/>
      <w:marTop w:val="0"/>
      <w:marBottom w:val="0"/>
      <w:divBdr>
        <w:top w:val="none" w:sz="0" w:space="0" w:color="auto"/>
        <w:left w:val="none" w:sz="0" w:space="0" w:color="auto"/>
        <w:bottom w:val="none" w:sz="0" w:space="0" w:color="auto"/>
        <w:right w:val="none" w:sz="0" w:space="0" w:color="auto"/>
      </w:divBdr>
    </w:div>
    <w:div w:id="819419469">
      <w:bodyDiv w:val="1"/>
      <w:marLeft w:val="0"/>
      <w:marRight w:val="0"/>
      <w:marTop w:val="0"/>
      <w:marBottom w:val="0"/>
      <w:divBdr>
        <w:top w:val="none" w:sz="0" w:space="0" w:color="auto"/>
        <w:left w:val="none" w:sz="0" w:space="0" w:color="auto"/>
        <w:bottom w:val="none" w:sz="0" w:space="0" w:color="auto"/>
        <w:right w:val="none" w:sz="0" w:space="0" w:color="auto"/>
      </w:divBdr>
    </w:div>
    <w:div w:id="820268947">
      <w:bodyDiv w:val="1"/>
      <w:marLeft w:val="0"/>
      <w:marRight w:val="0"/>
      <w:marTop w:val="0"/>
      <w:marBottom w:val="0"/>
      <w:divBdr>
        <w:top w:val="none" w:sz="0" w:space="0" w:color="auto"/>
        <w:left w:val="none" w:sz="0" w:space="0" w:color="auto"/>
        <w:bottom w:val="none" w:sz="0" w:space="0" w:color="auto"/>
        <w:right w:val="none" w:sz="0" w:space="0" w:color="auto"/>
      </w:divBdr>
    </w:div>
    <w:div w:id="821431086">
      <w:bodyDiv w:val="1"/>
      <w:marLeft w:val="0"/>
      <w:marRight w:val="0"/>
      <w:marTop w:val="0"/>
      <w:marBottom w:val="0"/>
      <w:divBdr>
        <w:top w:val="none" w:sz="0" w:space="0" w:color="auto"/>
        <w:left w:val="none" w:sz="0" w:space="0" w:color="auto"/>
        <w:bottom w:val="none" w:sz="0" w:space="0" w:color="auto"/>
        <w:right w:val="none" w:sz="0" w:space="0" w:color="auto"/>
      </w:divBdr>
    </w:div>
    <w:div w:id="830290069">
      <w:bodyDiv w:val="1"/>
      <w:marLeft w:val="0"/>
      <w:marRight w:val="0"/>
      <w:marTop w:val="0"/>
      <w:marBottom w:val="0"/>
      <w:divBdr>
        <w:top w:val="none" w:sz="0" w:space="0" w:color="auto"/>
        <w:left w:val="none" w:sz="0" w:space="0" w:color="auto"/>
        <w:bottom w:val="none" w:sz="0" w:space="0" w:color="auto"/>
        <w:right w:val="none" w:sz="0" w:space="0" w:color="auto"/>
      </w:divBdr>
    </w:div>
    <w:div w:id="837304394">
      <w:bodyDiv w:val="1"/>
      <w:marLeft w:val="0"/>
      <w:marRight w:val="0"/>
      <w:marTop w:val="0"/>
      <w:marBottom w:val="0"/>
      <w:divBdr>
        <w:top w:val="none" w:sz="0" w:space="0" w:color="auto"/>
        <w:left w:val="none" w:sz="0" w:space="0" w:color="auto"/>
        <w:bottom w:val="none" w:sz="0" w:space="0" w:color="auto"/>
        <w:right w:val="none" w:sz="0" w:space="0" w:color="auto"/>
      </w:divBdr>
    </w:div>
    <w:div w:id="846093906">
      <w:bodyDiv w:val="1"/>
      <w:marLeft w:val="0"/>
      <w:marRight w:val="0"/>
      <w:marTop w:val="0"/>
      <w:marBottom w:val="0"/>
      <w:divBdr>
        <w:top w:val="none" w:sz="0" w:space="0" w:color="auto"/>
        <w:left w:val="none" w:sz="0" w:space="0" w:color="auto"/>
        <w:bottom w:val="none" w:sz="0" w:space="0" w:color="auto"/>
        <w:right w:val="none" w:sz="0" w:space="0" w:color="auto"/>
      </w:divBdr>
    </w:div>
    <w:div w:id="863712063">
      <w:bodyDiv w:val="1"/>
      <w:marLeft w:val="0"/>
      <w:marRight w:val="0"/>
      <w:marTop w:val="0"/>
      <w:marBottom w:val="0"/>
      <w:divBdr>
        <w:top w:val="none" w:sz="0" w:space="0" w:color="auto"/>
        <w:left w:val="none" w:sz="0" w:space="0" w:color="auto"/>
        <w:bottom w:val="none" w:sz="0" w:space="0" w:color="auto"/>
        <w:right w:val="none" w:sz="0" w:space="0" w:color="auto"/>
      </w:divBdr>
    </w:div>
    <w:div w:id="864755247">
      <w:bodyDiv w:val="1"/>
      <w:marLeft w:val="0"/>
      <w:marRight w:val="0"/>
      <w:marTop w:val="0"/>
      <w:marBottom w:val="0"/>
      <w:divBdr>
        <w:top w:val="none" w:sz="0" w:space="0" w:color="auto"/>
        <w:left w:val="none" w:sz="0" w:space="0" w:color="auto"/>
        <w:bottom w:val="none" w:sz="0" w:space="0" w:color="auto"/>
        <w:right w:val="none" w:sz="0" w:space="0" w:color="auto"/>
      </w:divBdr>
    </w:div>
    <w:div w:id="869807069">
      <w:bodyDiv w:val="1"/>
      <w:marLeft w:val="0"/>
      <w:marRight w:val="0"/>
      <w:marTop w:val="0"/>
      <w:marBottom w:val="0"/>
      <w:divBdr>
        <w:top w:val="none" w:sz="0" w:space="0" w:color="auto"/>
        <w:left w:val="none" w:sz="0" w:space="0" w:color="auto"/>
        <w:bottom w:val="none" w:sz="0" w:space="0" w:color="auto"/>
        <w:right w:val="none" w:sz="0" w:space="0" w:color="auto"/>
      </w:divBdr>
    </w:div>
    <w:div w:id="871650495">
      <w:bodyDiv w:val="1"/>
      <w:marLeft w:val="0"/>
      <w:marRight w:val="0"/>
      <w:marTop w:val="0"/>
      <w:marBottom w:val="0"/>
      <w:divBdr>
        <w:top w:val="none" w:sz="0" w:space="0" w:color="auto"/>
        <w:left w:val="none" w:sz="0" w:space="0" w:color="auto"/>
        <w:bottom w:val="none" w:sz="0" w:space="0" w:color="auto"/>
        <w:right w:val="none" w:sz="0" w:space="0" w:color="auto"/>
      </w:divBdr>
    </w:div>
    <w:div w:id="871846476">
      <w:bodyDiv w:val="1"/>
      <w:marLeft w:val="0"/>
      <w:marRight w:val="0"/>
      <w:marTop w:val="0"/>
      <w:marBottom w:val="0"/>
      <w:divBdr>
        <w:top w:val="none" w:sz="0" w:space="0" w:color="auto"/>
        <w:left w:val="none" w:sz="0" w:space="0" w:color="auto"/>
        <w:bottom w:val="none" w:sz="0" w:space="0" w:color="auto"/>
        <w:right w:val="none" w:sz="0" w:space="0" w:color="auto"/>
      </w:divBdr>
    </w:div>
    <w:div w:id="877398596">
      <w:bodyDiv w:val="1"/>
      <w:marLeft w:val="0"/>
      <w:marRight w:val="0"/>
      <w:marTop w:val="0"/>
      <w:marBottom w:val="0"/>
      <w:divBdr>
        <w:top w:val="none" w:sz="0" w:space="0" w:color="auto"/>
        <w:left w:val="none" w:sz="0" w:space="0" w:color="auto"/>
        <w:bottom w:val="none" w:sz="0" w:space="0" w:color="auto"/>
        <w:right w:val="none" w:sz="0" w:space="0" w:color="auto"/>
      </w:divBdr>
    </w:div>
    <w:div w:id="888537448">
      <w:bodyDiv w:val="1"/>
      <w:marLeft w:val="0"/>
      <w:marRight w:val="0"/>
      <w:marTop w:val="0"/>
      <w:marBottom w:val="0"/>
      <w:divBdr>
        <w:top w:val="none" w:sz="0" w:space="0" w:color="auto"/>
        <w:left w:val="none" w:sz="0" w:space="0" w:color="auto"/>
        <w:bottom w:val="none" w:sz="0" w:space="0" w:color="auto"/>
        <w:right w:val="none" w:sz="0" w:space="0" w:color="auto"/>
      </w:divBdr>
    </w:div>
    <w:div w:id="893587832">
      <w:bodyDiv w:val="1"/>
      <w:marLeft w:val="0"/>
      <w:marRight w:val="0"/>
      <w:marTop w:val="0"/>
      <w:marBottom w:val="0"/>
      <w:divBdr>
        <w:top w:val="none" w:sz="0" w:space="0" w:color="auto"/>
        <w:left w:val="none" w:sz="0" w:space="0" w:color="auto"/>
        <w:bottom w:val="none" w:sz="0" w:space="0" w:color="auto"/>
        <w:right w:val="none" w:sz="0" w:space="0" w:color="auto"/>
      </w:divBdr>
    </w:div>
    <w:div w:id="899482351">
      <w:bodyDiv w:val="1"/>
      <w:marLeft w:val="0"/>
      <w:marRight w:val="0"/>
      <w:marTop w:val="0"/>
      <w:marBottom w:val="0"/>
      <w:divBdr>
        <w:top w:val="none" w:sz="0" w:space="0" w:color="auto"/>
        <w:left w:val="none" w:sz="0" w:space="0" w:color="auto"/>
        <w:bottom w:val="none" w:sz="0" w:space="0" w:color="auto"/>
        <w:right w:val="none" w:sz="0" w:space="0" w:color="auto"/>
      </w:divBdr>
    </w:div>
    <w:div w:id="902981123">
      <w:bodyDiv w:val="1"/>
      <w:marLeft w:val="0"/>
      <w:marRight w:val="0"/>
      <w:marTop w:val="0"/>
      <w:marBottom w:val="0"/>
      <w:divBdr>
        <w:top w:val="none" w:sz="0" w:space="0" w:color="auto"/>
        <w:left w:val="none" w:sz="0" w:space="0" w:color="auto"/>
        <w:bottom w:val="none" w:sz="0" w:space="0" w:color="auto"/>
        <w:right w:val="none" w:sz="0" w:space="0" w:color="auto"/>
      </w:divBdr>
    </w:div>
    <w:div w:id="904687316">
      <w:bodyDiv w:val="1"/>
      <w:marLeft w:val="0"/>
      <w:marRight w:val="0"/>
      <w:marTop w:val="0"/>
      <w:marBottom w:val="0"/>
      <w:divBdr>
        <w:top w:val="none" w:sz="0" w:space="0" w:color="auto"/>
        <w:left w:val="none" w:sz="0" w:space="0" w:color="auto"/>
        <w:bottom w:val="none" w:sz="0" w:space="0" w:color="auto"/>
        <w:right w:val="none" w:sz="0" w:space="0" w:color="auto"/>
      </w:divBdr>
    </w:div>
    <w:div w:id="907882435">
      <w:bodyDiv w:val="1"/>
      <w:marLeft w:val="0"/>
      <w:marRight w:val="0"/>
      <w:marTop w:val="0"/>
      <w:marBottom w:val="0"/>
      <w:divBdr>
        <w:top w:val="none" w:sz="0" w:space="0" w:color="auto"/>
        <w:left w:val="none" w:sz="0" w:space="0" w:color="auto"/>
        <w:bottom w:val="none" w:sz="0" w:space="0" w:color="auto"/>
        <w:right w:val="none" w:sz="0" w:space="0" w:color="auto"/>
      </w:divBdr>
    </w:div>
    <w:div w:id="909576020">
      <w:bodyDiv w:val="1"/>
      <w:marLeft w:val="0"/>
      <w:marRight w:val="0"/>
      <w:marTop w:val="0"/>
      <w:marBottom w:val="0"/>
      <w:divBdr>
        <w:top w:val="none" w:sz="0" w:space="0" w:color="auto"/>
        <w:left w:val="none" w:sz="0" w:space="0" w:color="auto"/>
        <w:bottom w:val="none" w:sz="0" w:space="0" w:color="auto"/>
        <w:right w:val="none" w:sz="0" w:space="0" w:color="auto"/>
      </w:divBdr>
    </w:div>
    <w:div w:id="919830173">
      <w:bodyDiv w:val="1"/>
      <w:marLeft w:val="0"/>
      <w:marRight w:val="0"/>
      <w:marTop w:val="0"/>
      <w:marBottom w:val="0"/>
      <w:divBdr>
        <w:top w:val="none" w:sz="0" w:space="0" w:color="auto"/>
        <w:left w:val="none" w:sz="0" w:space="0" w:color="auto"/>
        <w:bottom w:val="none" w:sz="0" w:space="0" w:color="auto"/>
        <w:right w:val="none" w:sz="0" w:space="0" w:color="auto"/>
      </w:divBdr>
    </w:div>
    <w:div w:id="939293279">
      <w:bodyDiv w:val="1"/>
      <w:marLeft w:val="0"/>
      <w:marRight w:val="0"/>
      <w:marTop w:val="0"/>
      <w:marBottom w:val="0"/>
      <w:divBdr>
        <w:top w:val="none" w:sz="0" w:space="0" w:color="auto"/>
        <w:left w:val="none" w:sz="0" w:space="0" w:color="auto"/>
        <w:bottom w:val="none" w:sz="0" w:space="0" w:color="auto"/>
        <w:right w:val="none" w:sz="0" w:space="0" w:color="auto"/>
      </w:divBdr>
    </w:div>
    <w:div w:id="947391704">
      <w:bodyDiv w:val="1"/>
      <w:marLeft w:val="0"/>
      <w:marRight w:val="0"/>
      <w:marTop w:val="0"/>
      <w:marBottom w:val="0"/>
      <w:divBdr>
        <w:top w:val="none" w:sz="0" w:space="0" w:color="auto"/>
        <w:left w:val="none" w:sz="0" w:space="0" w:color="auto"/>
        <w:bottom w:val="none" w:sz="0" w:space="0" w:color="auto"/>
        <w:right w:val="none" w:sz="0" w:space="0" w:color="auto"/>
      </w:divBdr>
    </w:div>
    <w:div w:id="956057686">
      <w:bodyDiv w:val="1"/>
      <w:marLeft w:val="0"/>
      <w:marRight w:val="0"/>
      <w:marTop w:val="0"/>
      <w:marBottom w:val="0"/>
      <w:divBdr>
        <w:top w:val="none" w:sz="0" w:space="0" w:color="auto"/>
        <w:left w:val="none" w:sz="0" w:space="0" w:color="auto"/>
        <w:bottom w:val="none" w:sz="0" w:space="0" w:color="auto"/>
        <w:right w:val="none" w:sz="0" w:space="0" w:color="auto"/>
      </w:divBdr>
    </w:div>
    <w:div w:id="961495944">
      <w:bodyDiv w:val="1"/>
      <w:marLeft w:val="0"/>
      <w:marRight w:val="0"/>
      <w:marTop w:val="0"/>
      <w:marBottom w:val="0"/>
      <w:divBdr>
        <w:top w:val="none" w:sz="0" w:space="0" w:color="auto"/>
        <w:left w:val="none" w:sz="0" w:space="0" w:color="auto"/>
        <w:bottom w:val="none" w:sz="0" w:space="0" w:color="auto"/>
        <w:right w:val="none" w:sz="0" w:space="0" w:color="auto"/>
      </w:divBdr>
    </w:div>
    <w:div w:id="965963011">
      <w:bodyDiv w:val="1"/>
      <w:marLeft w:val="0"/>
      <w:marRight w:val="0"/>
      <w:marTop w:val="0"/>
      <w:marBottom w:val="0"/>
      <w:divBdr>
        <w:top w:val="none" w:sz="0" w:space="0" w:color="auto"/>
        <w:left w:val="none" w:sz="0" w:space="0" w:color="auto"/>
        <w:bottom w:val="none" w:sz="0" w:space="0" w:color="auto"/>
        <w:right w:val="none" w:sz="0" w:space="0" w:color="auto"/>
      </w:divBdr>
    </w:div>
    <w:div w:id="967704755">
      <w:bodyDiv w:val="1"/>
      <w:marLeft w:val="0"/>
      <w:marRight w:val="0"/>
      <w:marTop w:val="0"/>
      <w:marBottom w:val="0"/>
      <w:divBdr>
        <w:top w:val="none" w:sz="0" w:space="0" w:color="auto"/>
        <w:left w:val="none" w:sz="0" w:space="0" w:color="auto"/>
        <w:bottom w:val="none" w:sz="0" w:space="0" w:color="auto"/>
        <w:right w:val="none" w:sz="0" w:space="0" w:color="auto"/>
      </w:divBdr>
    </w:div>
    <w:div w:id="976567826">
      <w:bodyDiv w:val="1"/>
      <w:marLeft w:val="0"/>
      <w:marRight w:val="0"/>
      <w:marTop w:val="0"/>
      <w:marBottom w:val="0"/>
      <w:divBdr>
        <w:top w:val="none" w:sz="0" w:space="0" w:color="auto"/>
        <w:left w:val="none" w:sz="0" w:space="0" w:color="auto"/>
        <w:bottom w:val="none" w:sz="0" w:space="0" w:color="auto"/>
        <w:right w:val="none" w:sz="0" w:space="0" w:color="auto"/>
      </w:divBdr>
    </w:div>
    <w:div w:id="982079543">
      <w:bodyDiv w:val="1"/>
      <w:marLeft w:val="0"/>
      <w:marRight w:val="0"/>
      <w:marTop w:val="0"/>
      <w:marBottom w:val="0"/>
      <w:divBdr>
        <w:top w:val="none" w:sz="0" w:space="0" w:color="auto"/>
        <w:left w:val="none" w:sz="0" w:space="0" w:color="auto"/>
        <w:bottom w:val="none" w:sz="0" w:space="0" w:color="auto"/>
        <w:right w:val="none" w:sz="0" w:space="0" w:color="auto"/>
      </w:divBdr>
    </w:div>
    <w:div w:id="990863772">
      <w:bodyDiv w:val="1"/>
      <w:marLeft w:val="0"/>
      <w:marRight w:val="0"/>
      <w:marTop w:val="0"/>
      <w:marBottom w:val="0"/>
      <w:divBdr>
        <w:top w:val="none" w:sz="0" w:space="0" w:color="auto"/>
        <w:left w:val="none" w:sz="0" w:space="0" w:color="auto"/>
        <w:bottom w:val="none" w:sz="0" w:space="0" w:color="auto"/>
        <w:right w:val="none" w:sz="0" w:space="0" w:color="auto"/>
      </w:divBdr>
    </w:div>
    <w:div w:id="1002700877">
      <w:bodyDiv w:val="1"/>
      <w:marLeft w:val="0"/>
      <w:marRight w:val="0"/>
      <w:marTop w:val="0"/>
      <w:marBottom w:val="0"/>
      <w:divBdr>
        <w:top w:val="none" w:sz="0" w:space="0" w:color="auto"/>
        <w:left w:val="none" w:sz="0" w:space="0" w:color="auto"/>
        <w:bottom w:val="none" w:sz="0" w:space="0" w:color="auto"/>
        <w:right w:val="none" w:sz="0" w:space="0" w:color="auto"/>
      </w:divBdr>
    </w:div>
    <w:div w:id="1005403778">
      <w:bodyDiv w:val="1"/>
      <w:marLeft w:val="0"/>
      <w:marRight w:val="0"/>
      <w:marTop w:val="0"/>
      <w:marBottom w:val="0"/>
      <w:divBdr>
        <w:top w:val="none" w:sz="0" w:space="0" w:color="auto"/>
        <w:left w:val="none" w:sz="0" w:space="0" w:color="auto"/>
        <w:bottom w:val="none" w:sz="0" w:space="0" w:color="auto"/>
        <w:right w:val="none" w:sz="0" w:space="0" w:color="auto"/>
      </w:divBdr>
    </w:div>
    <w:div w:id="1026563207">
      <w:bodyDiv w:val="1"/>
      <w:marLeft w:val="0"/>
      <w:marRight w:val="0"/>
      <w:marTop w:val="0"/>
      <w:marBottom w:val="0"/>
      <w:divBdr>
        <w:top w:val="none" w:sz="0" w:space="0" w:color="auto"/>
        <w:left w:val="none" w:sz="0" w:space="0" w:color="auto"/>
        <w:bottom w:val="none" w:sz="0" w:space="0" w:color="auto"/>
        <w:right w:val="none" w:sz="0" w:space="0" w:color="auto"/>
      </w:divBdr>
    </w:div>
    <w:div w:id="1032388902">
      <w:bodyDiv w:val="1"/>
      <w:marLeft w:val="0"/>
      <w:marRight w:val="0"/>
      <w:marTop w:val="0"/>
      <w:marBottom w:val="0"/>
      <w:divBdr>
        <w:top w:val="none" w:sz="0" w:space="0" w:color="auto"/>
        <w:left w:val="none" w:sz="0" w:space="0" w:color="auto"/>
        <w:bottom w:val="none" w:sz="0" w:space="0" w:color="auto"/>
        <w:right w:val="none" w:sz="0" w:space="0" w:color="auto"/>
      </w:divBdr>
    </w:div>
    <w:div w:id="1036350349">
      <w:bodyDiv w:val="1"/>
      <w:marLeft w:val="0"/>
      <w:marRight w:val="0"/>
      <w:marTop w:val="0"/>
      <w:marBottom w:val="0"/>
      <w:divBdr>
        <w:top w:val="none" w:sz="0" w:space="0" w:color="auto"/>
        <w:left w:val="none" w:sz="0" w:space="0" w:color="auto"/>
        <w:bottom w:val="none" w:sz="0" w:space="0" w:color="auto"/>
        <w:right w:val="none" w:sz="0" w:space="0" w:color="auto"/>
      </w:divBdr>
    </w:div>
    <w:div w:id="1043673968">
      <w:bodyDiv w:val="1"/>
      <w:marLeft w:val="0"/>
      <w:marRight w:val="0"/>
      <w:marTop w:val="0"/>
      <w:marBottom w:val="0"/>
      <w:divBdr>
        <w:top w:val="none" w:sz="0" w:space="0" w:color="auto"/>
        <w:left w:val="none" w:sz="0" w:space="0" w:color="auto"/>
        <w:bottom w:val="none" w:sz="0" w:space="0" w:color="auto"/>
        <w:right w:val="none" w:sz="0" w:space="0" w:color="auto"/>
      </w:divBdr>
    </w:div>
    <w:div w:id="1056392793">
      <w:bodyDiv w:val="1"/>
      <w:marLeft w:val="0"/>
      <w:marRight w:val="0"/>
      <w:marTop w:val="0"/>
      <w:marBottom w:val="0"/>
      <w:divBdr>
        <w:top w:val="none" w:sz="0" w:space="0" w:color="auto"/>
        <w:left w:val="none" w:sz="0" w:space="0" w:color="auto"/>
        <w:bottom w:val="none" w:sz="0" w:space="0" w:color="auto"/>
        <w:right w:val="none" w:sz="0" w:space="0" w:color="auto"/>
      </w:divBdr>
    </w:div>
    <w:div w:id="1060204556">
      <w:bodyDiv w:val="1"/>
      <w:marLeft w:val="0"/>
      <w:marRight w:val="0"/>
      <w:marTop w:val="0"/>
      <w:marBottom w:val="0"/>
      <w:divBdr>
        <w:top w:val="none" w:sz="0" w:space="0" w:color="auto"/>
        <w:left w:val="none" w:sz="0" w:space="0" w:color="auto"/>
        <w:bottom w:val="none" w:sz="0" w:space="0" w:color="auto"/>
        <w:right w:val="none" w:sz="0" w:space="0" w:color="auto"/>
      </w:divBdr>
    </w:div>
    <w:div w:id="1062873785">
      <w:bodyDiv w:val="1"/>
      <w:marLeft w:val="0"/>
      <w:marRight w:val="0"/>
      <w:marTop w:val="0"/>
      <w:marBottom w:val="0"/>
      <w:divBdr>
        <w:top w:val="none" w:sz="0" w:space="0" w:color="auto"/>
        <w:left w:val="none" w:sz="0" w:space="0" w:color="auto"/>
        <w:bottom w:val="none" w:sz="0" w:space="0" w:color="auto"/>
        <w:right w:val="none" w:sz="0" w:space="0" w:color="auto"/>
      </w:divBdr>
    </w:div>
    <w:div w:id="1081483620">
      <w:bodyDiv w:val="1"/>
      <w:marLeft w:val="0"/>
      <w:marRight w:val="0"/>
      <w:marTop w:val="0"/>
      <w:marBottom w:val="0"/>
      <w:divBdr>
        <w:top w:val="none" w:sz="0" w:space="0" w:color="auto"/>
        <w:left w:val="none" w:sz="0" w:space="0" w:color="auto"/>
        <w:bottom w:val="none" w:sz="0" w:space="0" w:color="auto"/>
        <w:right w:val="none" w:sz="0" w:space="0" w:color="auto"/>
      </w:divBdr>
    </w:div>
    <w:div w:id="1089083682">
      <w:bodyDiv w:val="1"/>
      <w:marLeft w:val="0"/>
      <w:marRight w:val="0"/>
      <w:marTop w:val="0"/>
      <w:marBottom w:val="0"/>
      <w:divBdr>
        <w:top w:val="none" w:sz="0" w:space="0" w:color="auto"/>
        <w:left w:val="none" w:sz="0" w:space="0" w:color="auto"/>
        <w:bottom w:val="none" w:sz="0" w:space="0" w:color="auto"/>
        <w:right w:val="none" w:sz="0" w:space="0" w:color="auto"/>
      </w:divBdr>
    </w:div>
    <w:div w:id="1094285631">
      <w:bodyDiv w:val="1"/>
      <w:marLeft w:val="0"/>
      <w:marRight w:val="0"/>
      <w:marTop w:val="0"/>
      <w:marBottom w:val="0"/>
      <w:divBdr>
        <w:top w:val="none" w:sz="0" w:space="0" w:color="auto"/>
        <w:left w:val="none" w:sz="0" w:space="0" w:color="auto"/>
        <w:bottom w:val="none" w:sz="0" w:space="0" w:color="auto"/>
        <w:right w:val="none" w:sz="0" w:space="0" w:color="auto"/>
      </w:divBdr>
    </w:div>
    <w:div w:id="1094326852">
      <w:bodyDiv w:val="1"/>
      <w:marLeft w:val="0"/>
      <w:marRight w:val="0"/>
      <w:marTop w:val="0"/>
      <w:marBottom w:val="0"/>
      <w:divBdr>
        <w:top w:val="none" w:sz="0" w:space="0" w:color="auto"/>
        <w:left w:val="none" w:sz="0" w:space="0" w:color="auto"/>
        <w:bottom w:val="none" w:sz="0" w:space="0" w:color="auto"/>
        <w:right w:val="none" w:sz="0" w:space="0" w:color="auto"/>
      </w:divBdr>
    </w:div>
    <w:div w:id="1101334743">
      <w:bodyDiv w:val="1"/>
      <w:marLeft w:val="0"/>
      <w:marRight w:val="0"/>
      <w:marTop w:val="0"/>
      <w:marBottom w:val="0"/>
      <w:divBdr>
        <w:top w:val="none" w:sz="0" w:space="0" w:color="auto"/>
        <w:left w:val="none" w:sz="0" w:space="0" w:color="auto"/>
        <w:bottom w:val="none" w:sz="0" w:space="0" w:color="auto"/>
        <w:right w:val="none" w:sz="0" w:space="0" w:color="auto"/>
      </w:divBdr>
    </w:div>
    <w:div w:id="1102452903">
      <w:bodyDiv w:val="1"/>
      <w:marLeft w:val="0"/>
      <w:marRight w:val="0"/>
      <w:marTop w:val="0"/>
      <w:marBottom w:val="0"/>
      <w:divBdr>
        <w:top w:val="none" w:sz="0" w:space="0" w:color="auto"/>
        <w:left w:val="none" w:sz="0" w:space="0" w:color="auto"/>
        <w:bottom w:val="none" w:sz="0" w:space="0" w:color="auto"/>
        <w:right w:val="none" w:sz="0" w:space="0" w:color="auto"/>
      </w:divBdr>
    </w:div>
    <w:div w:id="1108427983">
      <w:bodyDiv w:val="1"/>
      <w:marLeft w:val="0"/>
      <w:marRight w:val="0"/>
      <w:marTop w:val="0"/>
      <w:marBottom w:val="0"/>
      <w:divBdr>
        <w:top w:val="none" w:sz="0" w:space="0" w:color="auto"/>
        <w:left w:val="none" w:sz="0" w:space="0" w:color="auto"/>
        <w:bottom w:val="none" w:sz="0" w:space="0" w:color="auto"/>
        <w:right w:val="none" w:sz="0" w:space="0" w:color="auto"/>
      </w:divBdr>
    </w:div>
    <w:div w:id="1118065108">
      <w:bodyDiv w:val="1"/>
      <w:marLeft w:val="0"/>
      <w:marRight w:val="0"/>
      <w:marTop w:val="0"/>
      <w:marBottom w:val="0"/>
      <w:divBdr>
        <w:top w:val="none" w:sz="0" w:space="0" w:color="auto"/>
        <w:left w:val="none" w:sz="0" w:space="0" w:color="auto"/>
        <w:bottom w:val="none" w:sz="0" w:space="0" w:color="auto"/>
        <w:right w:val="none" w:sz="0" w:space="0" w:color="auto"/>
      </w:divBdr>
    </w:div>
    <w:div w:id="1120029775">
      <w:bodyDiv w:val="1"/>
      <w:marLeft w:val="0"/>
      <w:marRight w:val="0"/>
      <w:marTop w:val="0"/>
      <w:marBottom w:val="0"/>
      <w:divBdr>
        <w:top w:val="none" w:sz="0" w:space="0" w:color="auto"/>
        <w:left w:val="none" w:sz="0" w:space="0" w:color="auto"/>
        <w:bottom w:val="none" w:sz="0" w:space="0" w:color="auto"/>
        <w:right w:val="none" w:sz="0" w:space="0" w:color="auto"/>
      </w:divBdr>
    </w:div>
    <w:div w:id="1124689374">
      <w:bodyDiv w:val="1"/>
      <w:marLeft w:val="0"/>
      <w:marRight w:val="0"/>
      <w:marTop w:val="0"/>
      <w:marBottom w:val="0"/>
      <w:divBdr>
        <w:top w:val="none" w:sz="0" w:space="0" w:color="auto"/>
        <w:left w:val="none" w:sz="0" w:space="0" w:color="auto"/>
        <w:bottom w:val="none" w:sz="0" w:space="0" w:color="auto"/>
        <w:right w:val="none" w:sz="0" w:space="0" w:color="auto"/>
      </w:divBdr>
    </w:div>
    <w:div w:id="1133065245">
      <w:bodyDiv w:val="1"/>
      <w:marLeft w:val="0"/>
      <w:marRight w:val="0"/>
      <w:marTop w:val="0"/>
      <w:marBottom w:val="0"/>
      <w:divBdr>
        <w:top w:val="none" w:sz="0" w:space="0" w:color="auto"/>
        <w:left w:val="none" w:sz="0" w:space="0" w:color="auto"/>
        <w:bottom w:val="none" w:sz="0" w:space="0" w:color="auto"/>
        <w:right w:val="none" w:sz="0" w:space="0" w:color="auto"/>
      </w:divBdr>
    </w:div>
    <w:div w:id="1133138558">
      <w:bodyDiv w:val="1"/>
      <w:marLeft w:val="0"/>
      <w:marRight w:val="0"/>
      <w:marTop w:val="0"/>
      <w:marBottom w:val="0"/>
      <w:divBdr>
        <w:top w:val="none" w:sz="0" w:space="0" w:color="auto"/>
        <w:left w:val="none" w:sz="0" w:space="0" w:color="auto"/>
        <w:bottom w:val="none" w:sz="0" w:space="0" w:color="auto"/>
        <w:right w:val="none" w:sz="0" w:space="0" w:color="auto"/>
      </w:divBdr>
    </w:div>
    <w:div w:id="1152989904">
      <w:bodyDiv w:val="1"/>
      <w:marLeft w:val="0"/>
      <w:marRight w:val="0"/>
      <w:marTop w:val="0"/>
      <w:marBottom w:val="0"/>
      <w:divBdr>
        <w:top w:val="none" w:sz="0" w:space="0" w:color="auto"/>
        <w:left w:val="none" w:sz="0" w:space="0" w:color="auto"/>
        <w:bottom w:val="none" w:sz="0" w:space="0" w:color="auto"/>
        <w:right w:val="none" w:sz="0" w:space="0" w:color="auto"/>
      </w:divBdr>
    </w:div>
    <w:div w:id="1155686444">
      <w:bodyDiv w:val="1"/>
      <w:marLeft w:val="0"/>
      <w:marRight w:val="0"/>
      <w:marTop w:val="0"/>
      <w:marBottom w:val="0"/>
      <w:divBdr>
        <w:top w:val="none" w:sz="0" w:space="0" w:color="auto"/>
        <w:left w:val="none" w:sz="0" w:space="0" w:color="auto"/>
        <w:bottom w:val="none" w:sz="0" w:space="0" w:color="auto"/>
        <w:right w:val="none" w:sz="0" w:space="0" w:color="auto"/>
      </w:divBdr>
    </w:div>
    <w:div w:id="1167600699">
      <w:bodyDiv w:val="1"/>
      <w:marLeft w:val="0"/>
      <w:marRight w:val="0"/>
      <w:marTop w:val="0"/>
      <w:marBottom w:val="0"/>
      <w:divBdr>
        <w:top w:val="none" w:sz="0" w:space="0" w:color="auto"/>
        <w:left w:val="none" w:sz="0" w:space="0" w:color="auto"/>
        <w:bottom w:val="none" w:sz="0" w:space="0" w:color="auto"/>
        <w:right w:val="none" w:sz="0" w:space="0" w:color="auto"/>
      </w:divBdr>
    </w:div>
    <w:div w:id="1176772948">
      <w:bodyDiv w:val="1"/>
      <w:marLeft w:val="0"/>
      <w:marRight w:val="0"/>
      <w:marTop w:val="0"/>
      <w:marBottom w:val="0"/>
      <w:divBdr>
        <w:top w:val="none" w:sz="0" w:space="0" w:color="auto"/>
        <w:left w:val="none" w:sz="0" w:space="0" w:color="auto"/>
        <w:bottom w:val="none" w:sz="0" w:space="0" w:color="auto"/>
        <w:right w:val="none" w:sz="0" w:space="0" w:color="auto"/>
      </w:divBdr>
    </w:div>
    <w:div w:id="1193498577">
      <w:bodyDiv w:val="1"/>
      <w:marLeft w:val="0"/>
      <w:marRight w:val="0"/>
      <w:marTop w:val="0"/>
      <w:marBottom w:val="0"/>
      <w:divBdr>
        <w:top w:val="none" w:sz="0" w:space="0" w:color="auto"/>
        <w:left w:val="none" w:sz="0" w:space="0" w:color="auto"/>
        <w:bottom w:val="none" w:sz="0" w:space="0" w:color="auto"/>
        <w:right w:val="none" w:sz="0" w:space="0" w:color="auto"/>
      </w:divBdr>
    </w:div>
    <w:div w:id="1221595661">
      <w:bodyDiv w:val="1"/>
      <w:marLeft w:val="0"/>
      <w:marRight w:val="0"/>
      <w:marTop w:val="0"/>
      <w:marBottom w:val="0"/>
      <w:divBdr>
        <w:top w:val="none" w:sz="0" w:space="0" w:color="auto"/>
        <w:left w:val="none" w:sz="0" w:space="0" w:color="auto"/>
        <w:bottom w:val="none" w:sz="0" w:space="0" w:color="auto"/>
        <w:right w:val="none" w:sz="0" w:space="0" w:color="auto"/>
      </w:divBdr>
    </w:div>
    <w:div w:id="1241480505">
      <w:bodyDiv w:val="1"/>
      <w:marLeft w:val="0"/>
      <w:marRight w:val="0"/>
      <w:marTop w:val="0"/>
      <w:marBottom w:val="0"/>
      <w:divBdr>
        <w:top w:val="none" w:sz="0" w:space="0" w:color="auto"/>
        <w:left w:val="none" w:sz="0" w:space="0" w:color="auto"/>
        <w:bottom w:val="none" w:sz="0" w:space="0" w:color="auto"/>
        <w:right w:val="none" w:sz="0" w:space="0" w:color="auto"/>
      </w:divBdr>
    </w:div>
    <w:div w:id="1245920295">
      <w:bodyDiv w:val="1"/>
      <w:marLeft w:val="0"/>
      <w:marRight w:val="0"/>
      <w:marTop w:val="0"/>
      <w:marBottom w:val="0"/>
      <w:divBdr>
        <w:top w:val="none" w:sz="0" w:space="0" w:color="auto"/>
        <w:left w:val="none" w:sz="0" w:space="0" w:color="auto"/>
        <w:bottom w:val="none" w:sz="0" w:space="0" w:color="auto"/>
        <w:right w:val="none" w:sz="0" w:space="0" w:color="auto"/>
      </w:divBdr>
    </w:div>
    <w:div w:id="1252200786">
      <w:bodyDiv w:val="1"/>
      <w:marLeft w:val="0"/>
      <w:marRight w:val="0"/>
      <w:marTop w:val="0"/>
      <w:marBottom w:val="0"/>
      <w:divBdr>
        <w:top w:val="none" w:sz="0" w:space="0" w:color="auto"/>
        <w:left w:val="none" w:sz="0" w:space="0" w:color="auto"/>
        <w:bottom w:val="none" w:sz="0" w:space="0" w:color="auto"/>
        <w:right w:val="none" w:sz="0" w:space="0" w:color="auto"/>
      </w:divBdr>
    </w:div>
    <w:div w:id="1253471486">
      <w:bodyDiv w:val="1"/>
      <w:marLeft w:val="0"/>
      <w:marRight w:val="0"/>
      <w:marTop w:val="0"/>
      <w:marBottom w:val="0"/>
      <w:divBdr>
        <w:top w:val="none" w:sz="0" w:space="0" w:color="auto"/>
        <w:left w:val="none" w:sz="0" w:space="0" w:color="auto"/>
        <w:bottom w:val="none" w:sz="0" w:space="0" w:color="auto"/>
        <w:right w:val="none" w:sz="0" w:space="0" w:color="auto"/>
      </w:divBdr>
    </w:div>
    <w:div w:id="1255938244">
      <w:bodyDiv w:val="1"/>
      <w:marLeft w:val="0"/>
      <w:marRight w:val="0"/>
      <w:marTop w:val="0"/>
      <w:marBottom w:val="0"/>
      <w:divBdr>
        <w:top w:val="none" w:sz="0" w:space="0" w:color="auto"/>
        <w:left w:val="none" w:sz="0" w:space="0" w:color="auto"/>
        <w:bottom w:val="none" w:sz="0" w:space="0" w:color="auto"/>
        <w:right w:val="none" w:sz="0" w:space="0" w:color="auto"/>
      </w:divBdr>
    </w:div>
    <w:div w:id="1272128250">
      <w:bodyDiv w:val="1"/>
      <w:marLeft w:val="0"/>
      <w:marRight w:val="0"/>
      <w:marTop w:val="0"/>
      <w:marBottom w:val="0"/>
      <w:divBdr>
        <w:top w:val="none" w:sz="0" w:space="0" w:color="auto"/>
        <w:left w:val="none" w:sz="0" w:space="0" w:color="auto"/>
        <w:bottom w:val="none" w:sz="0" w:space="0" w:color="auto"/>
        <w:right w:val="none" w:sz="0" w:space="0" w:color="auto"/>
      </w:divBdr>
    </w:div>
    <w:div w:id="1274366747">
      <w:bodyDiv w:val="1"/>
      <w:marLeft w:val="0"/>
      <w:marRight w:val="0"/>
      <w:marTop w:val="0"/>
      <w:marBottom w:val="0"/>
      <w:divBdr>
        <w:top w:val="none" w:sz="0" w:space="0" w:color="auto"/>
        <w:left w:val="none" w:sz="0" w:space="0" w:color="auto"/>
        <w:bottom w:val="none" w:sz="0" w:space="0" w:color="auto"/>
        <w:right w:val="none" w:sz="0" w:space="0" w:color="auto"/>
      </w:divBdr>
    </w:div>
    <w:div w:id="1293440875">
      <w:bodyDiv w:val="1"/>
      <w:marLeft w:val="0"/>
      <w:marRight w:val="0"/>
      <w:marTop w:val="0"/>
      <w:marBottom w:val="0"/>
      <w:divBdr>
        <w:top w:val="none" w:sz="0" w:space="0" w:color="auto"/>
        <w:left w:val="none" w:sz="0" w:space="0" w:color="auto"/>
        <w:bottom w:val="none" w:sz="0" w:space="0" w:color="auto"/>
        <w:right w:val="none" w:sz="0" w:space="0" w:color="auto"/>
      </w:divBdr>
    </w:div>
    <w:div w:id="1294364887">
      <w:bodyDiv w:val="1"/>
      <w:marLeft w:val="0"/>
      <w:marRight w:val="0"/>
      <w:marTop w:val="0"/>
      <w:marBottom w:val="0"/>
      <w:divBdr>
        <w:top w:val="none" w:sz="0" w:space="0" w:color="auto"/>
        <w:left w:val="none" w:sz="0" w:space="0" w:color="auto"/>
        <w:bottom w:val="none" w:sz="0" w:space="0" w:color="auto"/>
        <w:right w:val="none" w:sz="0" w:space="0" w:color="auto"/>
      </w:divBdr>
    </w:div>
    <w:div w:id="1301425046">
      <w:bodyDiv w:val="1"/>
      <w:marLeft w:val="0"/>
      <w:marRight w:val="0"/>
      <w:marTop w:val="0"/>
      <w:marBottom w:val="0"/>
      <w:divBdr>
        <w:top w:val="none" w:sz="0" w:space="0" w:color="auto"/>
        <w:left w:val="none" w:sz="0" w:space="0" w:color="auto"/>
        <w:bottom w:val="none" w:sz="0" w:space="0" w:color="auto"/>
        <w:right w:val="none" w:sz="0" w:space="0" w:color="auto"/>
      </w:divBdr>
    </w:div>
    <w:div w:id="1311861034">
      <w:bodyDiv w:val="1"/>
      <w:marLeft w:val="0"/>
      <w:marRight w:val="0"/>
      <w:marTop w:val="0"/>
      <w:marBottom w:val="0"/>
      <w:divBdr>
        <w:top w:val="none" w:sz="0" w:space="0" w:color="auto"/>
        <w:left w:val="none" w:sz="0" w:space="0" w:color="auto"/>
        <w:bottom w:val="none" w:sz="0" w:space="0" w:color="auto"/>
        <w:right w:val="none" w:sz="0" w:space="0" w:color="auto"/>
      </w:divBdr>
    </w:div>
    <w:div w:id="1311984433">
      <w:bodyDiv w:val="1"/>
      <w:marLeft w:val="0"/>
      <w:marRight w:val="0"/>
      <w:marTop w:val="0"/>
      <w:marBottom w:val="0"/>
      <w:divBdr>
        <w:top w:val="none" w:sz="0" w:space="0" w:color="auto"/>
        <w:left w:val="none" w:sz="0" w:space="0" w:color="auto"/>
        <w:bottom w:val="none" w:sz="0" w:space="0" w:color="auto"/>
        <w:right w:val="none" w:sz="0" w:space="0" w:color="auto"/>
      </w:divBdr>
    </w:div>
    <w:div w:id="1325203836">
      <w:bodyDiv w:val="1"/>
      <w:marLeft w:val="0"/>
      <w:marRight w:val="0"/>
      <w:marTop w:val="0"/>
      <w:marBottom w:val="0"/>
      <w:divBdr>
        <w:top w:val="none" w:sz="0" w:space="0" w:color="auto"/>
        <w:left w:val="none" w:sz="0" w:space="0" w:color="auto"/>
        <w:bottom w:val="none" w:sz="0" w:space="0" w:color="auto"/>
        <w:right w:val="none" w:sz="0" w:space="0" w:color="auto"/>
      </w:divBdr>
    </w:div>
    <w:div w:id="1333028144">
      <w:bodyDiv w:val="1"/>
      <w:marLeft w:val="0"/>
      <w:marRight w:val="0"/>
      <w:marTop w:val="0"/>
      <w:marBottom w:val="0"/>
      <w:divBdr>
        <w:top w:val="none" w:sz="0" w:space="0" w:color="auto"/>
        <w:left w:val="none" w:sz="0" w:space="0" w:color="auto"/>
        <w:bottom w:val="none" w:sz="0" w:space="0" w:color="auto"/>
        <w:right w:val="none" w:sz="0" w:space="0" w:color="auto"/>
      </w:divBdr>
    </w:div>
    <w:div w:id="1333411852">
      <w:bodyDiv w:val="1"/>
      <w:marLeft w:val="0"/>
      <w:marRight w:val="0"/>
      <w:marTop w:val="0"/>
      <w:marBottom w:val="0"/>
      <w:divBdr>
        <w:top w:val="none" w:sz="0" w:space="0" w:color="auto"/>
        <w:left w:val="none" w:sz="0" w:space="0" w:color="auto"/>
        <w:bottom w:val="none" w:sz="0" w:space="0" w:color="auto"/>
        <w:right w:val="none" w:sz="0" w:space="0" w:color="auto"/>
      </w:divBdr>
    </w:div>
    <w:div w:id="1358388344">
      <w:bodyDiv w:val="1"/>
      <w:marLeft w:val="0"/>
      <w:marRight w:val="0"/>
      <w:marTop w:val="0"/>
      <w:marBottom w:val="0"/>
      <w:divBdr>
        <w:top w:val="none" w:sz="0" w:space="0" w:color="auto"/>
        <w:left w:val="none" w:sz="0" w:space="0" w:color="auto"/>
        <w:bottom w:val="none" w:sz="0" w:space="0" w:color="auto"/>
        <w:right w:val="none" w:sz="0" w:space="0" w:color="auto"/>
      </w:divBdr>
    </w:div>
    <w:div w:id="1369993425">
      <w:bodyDiv w:val="1"/>
      <w:marLeft w:val="0"/>
      <w:marRight w:val="0"/>
      <w:marTop w:val="0"/>
      <w:marBottom w:val="0"/>
      <w:divBdr>
        <w:top w:val="none" w:sz="0" w:space="0" w:color="auto"/>
        <w:left w:val="none" w:sz="0" w:space="0" w:color="auto"/>
        <w:bottom w:val="none" w:sz="0" w:space="0" w:color="auto"/>
        <w:right w:val="none" w:sz="0" w:space="0" w:color="auto"/>
      </w:divBdr>
    </w:div>
    <w:div w:id="1371959331">
      <w:bodyDiv w:val="1"/>
      <w:marLeft w:val="0"/>
      <w:marRight w:val="0"/>
      <w:marTop w:val="0"/>
      <w:marBottom w:val="0"/>
      <w:divBdr>
        <w:top w:val="none" w:sz="0" w:space="0" w:color="auto"/>
        <w:left w:val="none" w:sz="0" w:space="0" w:color="auto"/>
        <w:bottom w:val="none" w:sz="0" w:space="0" w:color="auto"/>
        <w:right w:val="none" w:sz="0" w:space="0" w:color="auto"/>
      </w:divBdr>
    </w:div>
    <w:div w:id="1387559253">
      <w:bodyDiv w:val="1"/>
      <w:marLeft w:val="0"/>
      <w:marRight w:val="0"/>
      <w:marTop w:val="0"/>
      <w:marBottom w:val="0"/>
      <w:divBdr>
        <w:top w:val="none" w:sz="0" w:space="0" w:color="auto"/>
        <w:left w:val="none" w:sz="0" w:space="0" w:color="auto"/>
        <w:bottom w:val="none" w:sz="0" w:space="0" w:color="auto"/>
        <w:right w:val="none" w:sz="0" w:space="0" w:color="auto"/>
      </w:divBdr>
    </w:div>
    <w:div w:id="1407146817">
      <w:bodyDiv w:val="1"/>
      <w:marLeft w:val="0"/>
      <w:marRight w:val="0"/>
      <w:marTop w:val="0"/>
      <w:marBottom w:val="0"/>
      <w:divBdr>
        <w:top w:val="none" w:sz="0" w:space="0" w:color="auto"/>
        <w:left w:val="none" w:sz="0" w:space="0" w:color="auto"/>
        <w:bottom w:val="none" w:sz="0" w:space="0" w:color="auto"/>
        <w:right w:val="none" w:sz="0" w:space="0" w:color="auto"/>
      </w:divBdr>
    </w:div>
    <w:div w:id="1431975318">
      <w:bodyDiv w:val="1"/>
      <w:marLeft w:val="0"/>
      <w:marRight w:val="0"/>
      <w:marTop w:val="0"/>
      <w:marBottom w:val="0"/>
      <w:divBdr>
        <w:top w:val="none" w:sz="0" w:space="0" w:color="auto"/>
        <w:left w:val="none" w:sz="0" w:space="0" w:color="auto"/>
        <w:bottom w:val="none" w:sz="0" w:space="0" w:color="auto"/>
        <w:right w:val="none" w:sz="0" w:space="0" w:color="auto"/>
      </w:divBdr>
    </w:div>
    <w:div w:id="1432165757">
      <w:bodyDiv w:val="1"/>
      <w:marLeft w:val="0"/>
      <w:marRight w:val="0"/>
      <w:marTop w:val="0"/>
      <w:marBottom w:val="0"/>
      <w:divBdr>
        <w:top w:val="none" w:sz="0" w:space="0" w:color="auto"/>
        <w:left w:val="none" w:sz="0" w:space="0" w:color="auto"/>
        <w:bottom w:val="none" w:sz="0" w:space="0" w:color="auto"/>
        <w:right w:val="none" w:sz="0" w:space="0" w:color="auto"/>
      </w:divBdr>
    </w:div>
    <w:div w:id="1436096304">
      <w:bodyDiv w:val="1"/>
      <w:marLeft w:val="0"/>
      <w:marRight w:val="0"/>
      <w:marTop w:val="0"/>
      <w:marBottom w:val="0"/>
      <w:divBdr>
        <w:top w:val="none" w:sz="0" w:space="0" w:color="auto"/>
        <w:left w:val="none" w:sz="0" w:space="0" w:color="auto"/>
        <w:bottom w:val="none" w:sz="0" w:space="0" w:color="auto"/>
        <w:right w:val="none" w:sz="0" w:space="0" w:color="auto"/>
      </w:divBdr>
    </w:div>
    <w:div w:id="1440757360">
      <w:bodyDiv w:val="1"/>
      <w:marLeft w:val="0"/>
      <w:marRight w:val="0"/>
      <w:marTop w:val="0"/>
      <w:marBottom w:val="0"/>
      <w:divBdr>
        <w:top w:val="none" w:sz="0" w:space="0" w:color="auto"/>
        <w:left w:val="none" w:sz="0" w:space="0" w:color="auto"/>
        <w:bottom w:val="none" w:sz="0" w:space="0" w:color="auto"/>
        <w:right w:val="none" w:sz="0" w:space="0" w:color="auto"/>
      </w:divBdr>
    </w:div>
    <w:div w:id="1444113104">
      <w:bodyDiv w:val="1"/>
      <w:marLeft w:val="0"/>
      <w:marRight w:val="0"/>
      <w:marTop w:val="0"/>
      <w:marBottom w:val="0"/>
      <w:divBdr>
        <w:top w:val="none" w:sz="0" w:space="0" w:color="auto"/>
        <w:left w:val="none" w:sz="0" w:space="0" w:color="auto"/>
        <w:bottom w:val="none" w:sz="0" w:space="0" w:color="auto"/>
        <w:right w:val="none" w:sz="0" w:space="0" w:color="auto"/>
      </w:divBdr>
    </w:div>
    <w:div w:id="1447000829">
      <w:bodyDiv w:val="1"/>
      <w:marLeft w:val="0"/>
      <w:marRight w:val="0"/>
      <w:marTop w:val="0"/>
      <w:marBottom w:val="0"/>
      <w:divBdr>
        <w:top w:val="none" w:sz="0" w:space="0" w:color="auto"/>
        <w:left w:val="none" w:sz="0" w:space="0" w:color="auto"/>
        <w:bottom w:val="none" w:sz="0" w:space="0" w:color="auto"/>
        <w:right w:val="none" w:sz="0" w:space="0" w:color="auto"/>
      </w:divBdr>
    </w:div>
    <w:div w:id="1462190913">
      <w:bodyDiv w:val="1"/>
      <w:marLeft w:val="0"/>
      <w:marRight w:val="0"/>
      <w:marTop w:val="0"/>
      <w:marBottom w:val="0"/>
      <w:divBdr>
        <w:top w:val="none" w:sz="0" w:space="0" w:color="auto"/>
        <w:left w:val="none" w:sz="0" w:space="0" w:color="auto"/>
        <w:bottom w:val="none" w:sz="0" w:space="0" w:color="auto"/>
        <w:right w:val="none" w:sz="0" w:space="0" w:color="auto"/>
      </w:divBdr>
    </w:div>
    <w:div w:id="1463619818">
      <w:bodyDiv w:val="1"/>
      <w:marLeft w:val="0"/>
      <w:marRight w:val="0"/>
      <w:marTop w:val="0"/>
      <w:marBottom w:val="0"/>
      <w:divBdr>
        <w:top w:val="none" w:sz="0" w:space="0" w:color="auto"/>
        <w:left w:val="none" w:sz="0" w:space="0" w:color="auto"/>
        <w:bottom w:val="none" w:sz="0" w:space="0" w:color="auto"/>
        <w:right w:val="none" w:sz="0" w:space="0" w:color="auto"/>
      </w:divBdr>
    </w:div>
    <w:div w:id="1466120614">
      <w:bodyDiv w:val="1"/>
      <w:marLeft w:val="0"/>
      <w:marRight w:val="0"/>
      <w:marTop w:val="0"/>
      <w:marBottom w:val="0"/>
      <w:divBdr>
        <w:top w:val="none" w:sz="0" w:space="0" w:color="auto"/>
        <w:left w:val="none" w:sz="0" w:space="0" w:color="auto"/>
        <w:bottom w:val="none" w:sz="0" w:space="0" w:color="auto"/>
        <w:right w:val="none" w:sz="0" w:space="0" w:color="auto"/>
      </w:divBdr>
    </w:div>
    <w:div w:id="1476604127">
      <w:bodyDiv w:val="1"/>
      <w:marLeft w:val="0"/>
      <w:marRight w:val="0"/>
      <w:marTop w:val="0"/>
      <w:marBottom w:val="0"/>
      <w:divBdr>
        <w:top w:val="none" w:sz="0" w:space="0" w:color="auto"/>
        <w:left w:val="none" w:sz="0" w:space="0" w:color="auto"/>
        <w:bottom w:val="none" w:sz="0" w:space="0" w:color="auto"/>
        <w:right w:val="none" w:sz="0" w:space="0" w:color="auto"/>
      </w:divBdr>
    </w:div>
    <w:div w:id="1485315398">
      <w:bodyDiv w:val="1"/>
      <w:marLeft w:val="0"/>
      <w:marRight w:val="0"/>
      <w:marTop w:val="0"/>
      <w:marBottom w:val="0"/>
      <w:divBdr>
        <w:top w:val="none" w:sz="0" w:space="0" w:color="auto"/>
        <w:left w:val="none" w:sz="0" w:space="0" w:color="auto"/>
        <w:bottom w:val="none" w:sz="0" w:space="0" w:color="auto"/>
        <w:right w:val="none" w:sz="0" w:space="0" w:color="auto"/>
      </w:divBdr>
    </w:div>
    <w:div w:id="1505586133">
      <w:bodyDiv w:val="1"/>
      <w:marLeft w:val="0"/>
      <w:marRight w:val="0"/>
      <w:marTop w:val="0"/>
      <w:marBottom w:val="0"/>
      <w:divBdr>
        <w:top w:val="none" w:sz="0" w:space="0" w:color="auto"/>
        <w:left w:val="none" w:sz="0" w:space="0" w:color="auto"/>
        <w:bottom w:val="none" w:sz="0" w:space="0" w:color="auto"/>
        <w:right w:val="none" w:sz="0" w:space="0" w:color="auto"/>
      </w:divBdr>
    </w:div>
    <w:div w:id="1506894635">
      <w:bodyDiv w:val="1"/>
      <w:marLeft w:val="0"/>
      <w:marRight w:val="0"/>
      <w:marTop w:val="0"/>
      <w:marBottom w:val="0"/>
      <w:divBdr>
        <w:top w:val="none" w:sz="0" w:space="0" w:color="auto"/>
        <w:left w:val="none" w:sz="0" w:space="0" w:color="auto"/>
        <w:bottom w:val="none" w:sz="0" w:space="0" w:color="auto"/>
        <w:right w:val="none" w:sz="0" w:space="0" w:color="auto"/>
      </w:divBdr>
    </w:div>
    <w:div w:id="1514997213">
      <w:bodyDiv w:val="1"/>
      <w:marLeft w:val="0"/>
      <w:marRight w:val="0"/>
      <w:marTop w:val="0"/>
      <w:marBottom w:val="0"/>
      <w:divBdr>
        <w:top w:val="none" w:sz="0" w:space="0" w:color="auto"/>
        <w:left w:val="none" w:sz="0" w:space="0" w:color="auto"/>
        <w:bottom w:val="none" w:sz="0" w:space="0" w:color="auto"/>
        <w:right w:val="none" w:sz="0" w:space="0" w:color="auto"/>
      </w:divBdr>
    </w:div>
    <w:div w:id="1523592482">
      <w:bodyDiv w:val="1"/>
      <w:marLeft w:val="0"/>
      <w:marRight w:val="0"/>
      <w:marTop w:val="0"/>
      <w:marBottom w:val="0"/>
      <w:divBdr>
        <w:top w:val="none" w:sz="0" w:space="0" w:color="auto"/>
        <w:left w:val="none" w:sz="0" w:space="0" w:color="auto"/>
        <w:bottom w:val="none" w:sz="0" w:space="0" w:color="auto"/>
        <w:right w:val="none" w:sz="0" w:space="0" w:color="auto"/>
      </w:divBdr>
    </w:div>
    <w:div w:id="1530875186">
      <w:bodyDiv w:val="1"/>
      <w:marLeft w:val="0"/>
      <w:marRight w:val="0"/>
      <w:marTop w:val="0"/>
      <w:marBottom w:val="0"/>
      <w:divBdr>
        <w:top w:val="none" w:sz="0" w:space="0" w:color="auto"/>
        <w:left w:val="none" w:sz="0" w:space="0" w:color="auto"/>
        <w:bottom w:val="none" w:sz="0" w:space="0" w:color="auto"/>
        <w:right w:val="none" w:sz="0" w:space="0" w:color="auto"/>
      </w:divBdr>
    </w:div>
    <w:div w:id="1547451104">
      <w:bodyDiv w:val="1"/>
      <w:marLeft w:val="0"/>
      <w:marRight w:val="0"/>
      <w:marTop w:val="0"/>
      <w:marBottom w:val="0"/>
      <w:divBdr>
        <w:top w:val="none" w:sz="0" w:space="0" w:color="auto"/>
        <w:left w:val="none" w:sz="0" w:space="0" w:color="auto"/>
        <w:bottom w:val="none" w:sz="0" w:space="0" w:color="auto"/>
        <w:right w:val="none" w:sz="0" w:space="0" w:color="auto"/>
      </w:divBdr>
    </w:div>
    <w:div w:id="1548181898">
      <w:bodyDiv w:val="1"/>
      <w:marLeft w:val="0"/>
      <w:marRight w:val="0"/>
      <w:marTop w:val="0"/>
      <w:marBottom w:val="0"/>
      <w:divBdr>
        <w:top w:val="none" w:sz="0" w:space="0" w:color="auto"/>
        <w:left w:val="none" w:sz="0" w:space="0" w:color="auto"/>
        <w:bottom w:val="none" w:sz="0" w:space="0" w:color="auto"/>
        <w:right w:val="none" w:sz="0" w:space="0" w:color="auto"/>
      </w:divBdr>
    </w:div>
    <w:div w:id="1548881518">
      <w:bodyDiv w:val="1"/>
      <w:marLeft w:val="0"/>
      <w:marRight w:val="0"/>
      <w:marTop w:val="0"/>
      <w:marBottom w:val="0"/>
      <w:divBdr>
        <w:top w:val="none" w:sz="0" w:space="0" w:color="auto"/>
        <w:left w:val="none" w:sz="0" w:space="0" w:color="auto"/>
        <w:bottom w:val="none" w:sz="0" w:space="0" w:color="auto"/>
        <w:right w:val="none" w:sz="0" w:space="0" w:color="auto"/>
      </w:divBdr>
    </w:div>
    <w:div w:id="1555579354">
      <w:bodyDiv w:val="1"/>
      <w:marLeft w:val="0"/>
      <w:marRight w:val="0"/>
      <w:marTop w:val="0"/>
      <w:marBottom w:val="0"/>
      <w:divBdr>
        <w:top w:val="none" w:sz="0" w:space="0" w:color="auto"/>
        <w:left w:val="none" w:sz="0" w:space="0" w:color="auto"/>
        <w:bottom w:val="none" w:sz="0" w:space="0" w:color="auto"/>
        <w:right w:val="none" w:sz="0" w:space="0" w:color="auto"/>
      </w:divBdr>
    </w:div>
    <w:div w:id="1563176116">
      <w:bodyDiv w:val="1"/>
      <w:marLeft w:val="0"/>
      <w:marRight w:val="0"/>
      <w:marTop w:val="0"/>
      <w:marBottom w:val="0"/>
      <w:divBdr>
        <w:top w:val="none" w:sz="0" w:space="0" w:color="auto"/>
        <w:left w:val="none" w:sz="0" w:space="0" w:color="auto"/>
        <w:bottom w:val="none" w:sz="0" w:space="0" w:color="auto"/>
        <w:right w:val="none" w:sz="0" w:space="0" w:color="auto"/>
      </w:divBdr>
    </w:div>
    <w:div w:id="1567763090">
      <w:bodyDiv w:val="1"/>
      <w:marLeft w:val="0"/>
      <w:marRight w:val="0"/>
      <w:marTop w:val="0"/>
      <w:marBottom w:val="0"/>
      <w:divBdr>
        <w:top w:val="none" w:sz="0" w:space="0" w:color="auto"/>
        <w:left w:val="none" w:sz="0" w:space="0" w:color="auto"/>
        <w:bottom w:val="none" w:sz="0" w:space="0" w:color="auto"/>
        <w:right w:val="none" w:sz="0" w:space="0" w:color="auto"/>
      </w:divBdr>
    </w:div>
    <w:div w:id="1580673066">
      <w:bodyDiv w:val="1"/>
      <w:marLeft w:val="0"/>
      <w:marRight w:val="0"/>
      <w:marTop w:val="0"/>
      <w:marBottom w:val="0"/>
      <w:divBdr>
        <w:top w:val="none" w:sz="0" w:space="0" w:color="auto"/>
        <w:left w:val="none" w:sz="0" w:space="0" w:color="auto"/>
        <w:bottom w:val="none" w:sz="0" w:space="0" w:color="auto"/>
        <w:right w:val="none" w:sz="0" w:space="0" w:color="auto"/>
      </w:divBdr>
    </w:div>
    <w:div w:id="1593736265">
      <w:bodyDiv w:val="1"/>
      <w:marLeft w:val="0"/>
      <w:marRight w:val="0"/>
      <w:marTop w:val="0"/>
      <w:marBottom w:val="0"/>
      <w:divBdr>
        <w:top w:val="none" w:sz="0" w:space="0" w:color="auto"/>
        <w:left w:val="none" w:sz="0" w:space="0" w:color="auto"/>
        <w:bottom w:val="none" w:sz="0" w:space="0" w:color="auto"/>
        <w:right w:val="none" w:sz="0" w:space="0" w:color="auto"/>
      </w:divBdr>
    </w:div>
    <w:div w:id="1598053476">
      <w:bodyDiv w:val="1"/>
      <w:marLeft w:val="0"/>
      <w:marRight w:val="0"/>
      <w:marTop w:val="0"/>
      <w:marBottom w:val="0"/>
      <w:divBdr>
        <w:top w:val="none" w:sz="0" w:space="0" w:color="auto"/>
        <w:left w:val="none" w:sz="0" w:space="0" w:color="auto"/>
        <w:bottom w:val="none" w:sz="0" w:space="0" w:color="auto"/>
        <w:right w:val="none" w:sz="0" w:space="0" w:color="auto"/>
      </w:divBdr>
    </w:div>
    <w:div w:id="1598829701">
      <w:bodyDiv w:val="1"/>
      <w:marLeft w:val="0"/>
      <w:marRight w:val="0"/>
      <w:marTop w:val="0"/>
      <w:marBottom w:val="0"/>
      <w:divBdr>
        <w:top w:val="none" w:sz="0" w:space="0" w:color="auto"/>
        <w:left w:val="none" w:sz="0" w:space="0" w:color="auto"/>
        <w:bottom w:val="none" w:sz="0" w:space="0" w:color="auto"/>
        <w:right w:val="none" w:sz="0" w:space="0" w:color="auto"/>
      </w:divBdr>
    </w:div>
    <w:div w:id="1602104948">
      <w:bodyDiv w:val="1"/>
      <w:marLeft w:val="0"/>
      <w:marRight w:val="0"/>
      <w:marTop w:val="0"/>
      <w:marBottom w:val="0"/>
      <w:divBdr>
        <w:top w:val="none" w:sz="0" w:space="0" w:color="auto"/>
        <w:left w:val="none" w:sz="0" w:space="0" w:color="auto"/>
        <w:bottom w:val="none" w:sz="0" w:space="0" w:color="auto"/>
        <w:right w:val="none" w:sz="0" w:space="0" w:color="auto"/>
      </w:divBdr>
    </w:div>
    <w:div w:id="1604723161">
      <w:bodyDiv w:val="1"/>
      <w:marLeft w:val="0"/>
      <w:marRight w:val="0"/>
      <w:marTop w:val="0"/>
      <w:marBottom w:val="0"/>
      <w:divBdr>
        <w:top w:val="none" w:sz="0" w:space="0" w:color="auto"/>
        <w:left w:val="none" w:sz="0" w:space="0" w:color="auto"/>
        <w:bottom w:val="none" w:sz="0" w:space="0" w:color="auto"/>
        <w:right w:val="none" w:sz="0" w:space="0" w:color="auto"/>
      </w:divBdr>
    </w:div>
    <w:div w:id="1605655155">
      <w:bodyDiv w:val="1"/>
      <w:marLeft w:val="0"/>
      <w:marRight w:val="0"/>
      <w:marTop w:val="0"/>
      <w:marBottom w:val="0"/>
      <w:divBdr>
        <w:top w:val="none" w:sz="0" w:space="0" w:color="auto"/>
        <w:left w:val="none" w:sz="0" w:space="0" w:color="auto"/>
        <w:bottom w:val="none" w:sz="0" w:space="0" w:color="auto"/>
        <w:right w:val="none" w:sz="0" w:space="0" w:color="auto"/>
      </w:divBdr>
    </w:div>
    <w:div w:id="1606424755">
      <w:bodyDiv w:val="1"/>
      <w:marLeft w:val="0"/>
      <w:marRight w:val="0"/>
      <w:marTop w:val="0"/>
      <w:marBottom w:val="0"/>
      <w:divBdr>
        <w:top w:val="none" w:sz="0" w:space="0" w:color="auto"/>
        <w:left w:val="none" w:sz="0" w:space="0" w:color="auto"/>
        <w:bottom w:val="none" w:sz="0" w:space="0" w:color="auto"/>
        <w:right w:val="none" w:sz="0" w:space="0" w:color="auto"/>
      </w:divBdr>
    </w:div>
    <w:div w:id="1609461949">
      <w:bodyDiv w:val="1"/>
      <w:marLeft w:val="0"/>
      <w:marRight w:val="0"/>
      <w:marTop w:val="0"/>
      <w:marBottom w:val="0"/>
      <w:divBdr>
        <w:top w:val="none" w:sz="0" w:space="0" w:color="auto"/>
        <w:left w:val="none" w:sz="0" w:space="0" w:color="auto"/>
        <w:bottom w:val="none" w:sz="0" w:space="0" w:color="auto"/>
        <w:right w:val="none" w:sz="0" w:space="0" w:color="auto"/>
      </w:divBdr>
    </w:div>
    <w:div w:id="1612856729">
      <w:bodyDiv w:val="1"/>
      <w:marLeft w:val="0"/>
      <w:marRight w:val="0"/>
      <w:marTop w:val="0"/>
      <w:marBottom w:val="0"/>
      <w:divBdr>
        <w:top w:val="none" w:sz="0" w:space="0" w:color="auto"/>
        <w:left w:val="none" w:sz="0" w:space="0" w:color="auto"/>
        <w:bottom w:val="none" w:sz="0" w:space="0" w:color="auto"/>
        <w:right w:val="none" w:sz="0" w:space="0" w:color="auto"/>
      </w:divBdr>
    </w:div>
    <w:div w:id="1624531111">
      <w:bodyDiv w:val="1"/>
      <w:marLeft w:val="0"/>
      <w:marRight w:val="0"/>
      <w:marTop w:val="0"/>
      <w:marBottom w:val="0"/>
      <w:divBdr>
        <w:top w:val="none" w:sz="0" w:space="0" w:color="auto"/>
        <w:left w:val="none" w:sz="0" w:space="0" w:color="auto"/>
        <w:bottom w:val="none" w:sz="0" w:space="0" w:color="auto"/>
        <w:right w:val="none" w:sz="0" w:space="0" w:color="auto"/>
      </w:divBdr>
    </w:div>
    <w:div w:id="1627589503">
      <w:bodyDiv w:val="1"/>
      <w:marLeft w:val="0"/>
      <w:marRight w:val="0"/>
      <w:marTop w:val="0"/>
      <w:marBottom w:val="0"/>
      <w:divBdr>
        <w:top w:val="none" w:sz="0" w:space="0" w:color="auto"/>
        <w:left w:val="none" w:sz="0" w:space="0" w:color="auto"/>
        <w:bottom w:val="none" w:sz="0" w:space="0" w:color="auto"/>
        <w:right w:val="none" w:sz="0" w:space="0" w:color="auto"/>
      </w:divBdr>
    </w:div>
    <w:div w:id="1630819877">
      <w:bodyDiv w:val="1"/>
      <w:marLeft w:val="0"/>
      <w:marRight w:val="0"/>
      <w:marTop w:val="0"/>
      <w:marBottom w:val="0"/>
      <w:divBdr>
        <w:top w:val="none" w:sz="0" w:space="0" w:color="auto"/>
        <w:left w:val="none" w:sz="0" w:space="0" w:color="auto"/>
        <w:bottom w:val="none" w:sz="0" w:space="0" w:color="auto"/>
        <w:right w:val="none" w:sz="0" w:space="0" w:color="auto"/>
      </w:divBdr>
    </w:div>
    <w:div w:id="1633750960">
      <w:bodyDiv w:val="1"/>
      <w:marLeft w:val="0"/>
      <w:marRight w:val="0"/>
      <w:marTop w:val="0"/>
      <w:marBottom w:val="0"/>
      <w:divBdr>
        <w:top w:val="none" w:sz="0" w:space="0" w:color="auto"/>
        <w:left w:val="none" w:sz="0" w:space="0" w:color="auto"/>
        <w:bottom w:val="none" w:sz="0" w:space="0" w:color="auto"/>
        <w:right w:val="none" w:sz="0" w:space="0" w:color="auto"/>
      </w:divBdr>
    </w:div>
    <w:div w:id="1661885940">
      <w:bodyDiv w:val="1"/>
      <w:marLeft w:val="0"/>
      <w:marRight w:val="0"/>
      <w:marTop w:val="0"/>
      <w:marBottom w:val="0"/>
      <w:divBdr>
        <w:top w:val="none" w:sz="0" w:space="0" w:color="auto"/>
        <w:left w:val="none" w:sz="0" w:space="0" w:color="auto"/>
        <w:bottom w:val="none" w:sz="0" w:space="0" w:color="auto"/>
        <w:right w:val="none" w:sz="0" w:space="0" w:color="auto"/>
      </w:divBdr>
    </w:div>
    <w:div w:id="1665621683">
      <w:bodyDiv w:val="1"/>
      <w:marLeft w:val="0"/>
      <w:marRight w:val="0"/>
      <w:marTop w:val="0"/>
      <w:marBottom w:val="0"/>
      <w:divBdr>
        <w:top w:val="none" w:sz="0" w:space="0" w:color="auto"/>
        <w:left w:val="none" w:sz="0" w:space="0" w:color="auto"/>
        <w:bottom w:val="none" w:sz="0" w:space="0" w:color="auto"/>
        <w:right w:val="none" w:sz="0" w:space="0" w:color="auto"/>
      </w:divBdr>
    </w:div>
    <w:div w:id="1674843861">
      <w:bodyDiv w:val="1"/>
      <w:marLeft w:val="0"/>
      <w:marRight w:val="0"/>
      <w:marTop w:val="0"/>
      <w:marBottom w:val="0"/>
      <w:divBdr>
        <w:top w:val="none" w:sz="0" w:space="0" w:color="auto"/>
        <w:left w:val="none" w:sz="0" w:space="0" w:color="auto"/>
        <w:bottom w:val="none" w:sz="0" w:space="0" w:color="auto"/>
        <w:right w:val="none" w:sz="0" w:space="0" w:color="auto"/>
      </w:divBdr>
    </w:div>
    <w:div w:id="1689334882">
      <w:bodyDiv w:val="1"/>
      <w:marLeft w:val="0"/>
      <w:marRight w:val="0"/>
      <w:marTop w:val="0"/>
      <w:marBottom w:val="0"/>
      <w:divBdr>
        <w:top w:val="none" w:sz="0" w:space="0" w:color="auto"/>
        <w:left w:val="none" w:sz="0" w:space="0" w:color="auto"/>
        <w:bottom w:val="none" w:sz="0" w:space="0" w:color="auto"/>
        <w:right w:val="none" w:sz="0" w:space="0" w:color="auto"/>
      </w:divBdr>
    </w:div>
    <w:div w:id="1697002257">
      <w:bodyDiv w:val="1"/>
      <w:marLeft w:val="0"/>
      <w:marRight w:val="0"/>
      <w:marTop w:val="0"/>
      <w:marBottom w:val="0"/>
      <w:divBdr>
        <w:top w:val="none" w:sz="0" w:space="0" w:color="auto"/>
        <w:left w:val="none" w:sz="0" w:space="0" w:color="auto"/>
        <w:bottom w:val="none" w:sz="0" w:space="0" w:color="auto"/>
        <w:right w:val="none" w:sz="0" w:space="0" w:color="auto"/>
      </w:divBdr>
    </w:div>
    <w:div w:id="1710253043">
      <w:bodyDiv w:val="1"/>
      <w:marLeft w:val="0"/>
      <w:marRight w:val="0"/>
      <w:marTop w:val="0"/>
      <w:marBottom w:val="0"/>
      <w:divBdr>
        <w:top w:val="none" w:sz="0" w:space="0" w:color="auto"/>
        <w:left w:val="none" w:sz="0" w:space="0" w:color="auto"/>
        <w:bottom w:val="none" w:sz="0" w:space="0" w:color="auto"/>
        <w:right w:val="none" w:sz="0" w:space="0" w:color="auto"/>
      </w:divBdr>
    </w:div>
    <w:div w:id="1713651838">
      <w:bodyDiv w:val="1"/>
      <w:marLeft w:val="0"/>
      <w:marRight w:val="0"/>
      <w:marTop w:val="0"/>
      <w:marBottom w:val="0"/>
      <w:divBdr>
        <w:top w:val="none" w:sz="0" w:space="0" w:color="auto"/>
        <w:left w:val="none" w:sz="0" w:space="0" w:color="auto"/>
        <w:bottom w:val="none" w:sz="0" w:space="0" w:color="auto"/>
        <w:right w:val="none" w:sz="0" w:space="0" w:color="auto"/>
      </w:divBdr>
    </w:div>
    <w:div w:id="1729566791">
      <w:bodyDiv w:val="1"/>
      <w:marLeft w:val="0"/>
      <w:marRight w:val="0"/>
      <w:marTop w:val="0"/>
      <w:marBottom w:val="0"/>
      <w:divBdr>
        <w:top w:val="none" w:sz="0" w:space="0" w:color="auto"/>
        <w:left w:val="none" w:sz="0" w:space="0" w:color="auto"/>
        <w:bottom w:val="none" w:sz="0" w:space="0" w:color="auto"/>
        <w:right w:val="none" w:sz="0" w:space="0" w:color="auto"/>
      </w:divBdr>
    </w:div>
    <w:div w:id="1734770681">
      <w:bodyDiv w:val="1"/>
      <w:marLeft w:val="0"/>
      <w:marRight w:val="0"/>
      <w:marTop w:val="0"/>
      <w:marBottom w:val="0"/>
      <w:divBdr>
        <w:top w:val="none" w:sz="0" w:space="0" w:color="auto"/>
        <w:left w:val="none" w:sz="0" w:space="0" w:color="auto"/>
        <w:bottom w:val="none" w:sz="0" w:space="0" w:color="auto"/>
        <w:right w:val="none" w:sz="0" w:space="0" w:color="auto"/>
      </w:divBdr>
    </w:div>
    <w:div w:id="1738168037">
      <w:bodyDiv w:val="1"/>
      <w:marLeft w:val="0"/>
      <w:marRight w:val="0"/>
      <w:marTop w:val="0"/>
      <w:marBottom w:val="0"/>
      <w:divBdr>
        <w:top w:val="none" w:sz="0" w:space="0" w:color="auto"/>
        <w:left w:val="none" w:sz="0" w:space="0" w:color="auto"/>
        <w:bottom w:val="none" w:sz="0" w:space="0" w:color="auto"/>
        <w:right w:val="none" w:sz="0" w:space="0" w:color="auto"/>
      </w:divBdr>
    </w:div>
    <w:div w:id="1743524914">
      <w:bodyDiv w:val="1"/>
      <w:marLeft w:val="0"/>
      <w:marRight w:val="0"/>
      <w:marTop w:val="0"/>
      <w:marBottom w:val="0"/>
      <w:divBdr>
        <w:top w:val="none" w:sz="0" w:space="0" w:color="auto"/>
        <w:left w:val="none" w:sz="0" w:space="0" w:color="auto"/>
        <w:bottom w:val="none" w:sz="0" w:space="0" w:color="auto"/>
        <w:right w:val="none" w:sz="0" w:space="0" w:color="auto"/>
      </w:divBdr>
    </w:div>
    <w:div w:id="1745880384">
      <w:bodyDiv w:val="1"/>
      <w:marLeft w:val="0"/>
      <w:marRight w:val="0"/>
      <w:marTop w:val="0"/>
      <w:marBottom w:val="0"/>
      <w:divBdr>
        <w:top w:val="none" w:sz="0" w:space="0" w:color="auto"/>
        <w:left w:val="none" w:sz="0" w:space="0" w:color="auto"/>
        <w:bottom w:val="none" w:sz="0" w:space="0" w:color="auto"/>
        <w:right w:val="none" w:sz="0" w:space="0" w:color="auto"/>
      </w:divBdr>
    </w:div>
    <w:div w:id="1754814257">
      <w:bodyDiv w:val="1"/>
      <w:marLeft w:val="0"/>
      <w:marRight w:val="0"/>
      <w:marTop w:val="0"/>
      <w:marBottom w:val="0"/>
      <w:divBdr>
        <w:top w:val="none" w:sz="0" w:space="0" w:color="auto"/>
        <w:left w:val="none" w:sz="0" w:space="0" w:color="auto"/>
        <w:bottom w:val="none" w:sz="0" w:space="0" w:color="auto"/>
        <w:right w:val="none" w:sz="0" w:space="0" w:color="auto"/>
      </w:divBdr>
    </w:div>
    <w:div w:id="1761832017">
      <w:bodyDiv w:val="1"/>
      <w:marLeft w:val="0"/>
      <w:marRight w:val="0"/>
      <w:marTop w:val="0"/>
      <w:marBottom w:val="0"/>
      <w:divBdr>
        <w:top w:val="none" w:sz="0" w:space="0" w:color="auto"/>
        <w:left w:val="none" w:sz="0" w:space="0" w:color="auto"/>
        <w:bottom w:val="none" w:sz="0" w:space="0" w:color="auto"/>
        <w:right w:val="none" w:sz="0" w:space="0" w:color="auto"/>
      </w:divBdr>
    </w:div>
    <w:div w:id="1770155849">
      <w:bodyDiv w:val="1"/>
      <w:marLeft w:val="0"/>
      <w:marRight w:val="0"/>
      <w:marTop w:val="0"/>
      <w:marBottom w:val="0"/>
      <w:divBdr>
        <w:top w:val="none" w:sz="0" w:space="0" w:color="auto"/>
        <w:left w:val="none" w:sz="0" w:space="0" w:color="auto"/>
        <w:bottom w:val="none" w:sz="0" w:space="0" w:color="auto"/>
        <w:right w:val="none" w:sz="0" w:space="0" w:color="auto"/>
      </w:divBdr>
    </w:div>
    <w:div w:id="1770586271">
      <w:bodyDiv w:val="1"/>
      <w:marLeft w:val="0"/>
      <w:marRight w:val="0"/>
      <w:marTop w:val="0"/>
      <w:marBottom w:val="0"/>
      <w:divBdr>
        <w:top w:val="none" w:sz="0" w:space="0" w:color="auto"/>
        <w:left w:val="none" w:sz="0" w:space="0" w:color="auto"/>
        <w:bottom w:val="none" w:sz="0" w:space="0" w:color="auto"/>
        <w:right w:val="none" w:sz="0" w:space="0" w:color="auto"/>
      </w:divBdr>
    </w:div>
    <w:div w:id="1772431366">
      <w:bodyDiv w:val="1"/>
      <w:marLeft w:val="0"/>
      <w:marRight w:val="0"/>
      <w:marTop w:val="0"/>
      <w:marBottom w:val="0"/>
      <w:divBdr>
        <w:top w:val="none" w:sz="0" w:space="0" w:color="auto"/>
        <w:left w:val="none" w:sz="0" w:space="0" w:color="auto"/>
        <w:bottom w:val="none" w:sz="0" w:space="0" w:color="auto"/>
        <w:right w:val="none" w:sz="0" w:space="0" w:color="auto"/>
      </w:divBdr>
    </w:div>
    <w:div w:id="1777823028">
      <w:bodyDiv w:val="1"/>
      <w:marLeft w:val="0"/>
      <w:marRight w:val="0"/>
      <w:marTop w:val="0"/>
      <w:marBottom w:val="0"/>
      <w:divBdr>
        <w:top w:val="none" w:sz="0" w:space="0" w:color="auto"/>
        <w:left w:val="none" w:sz="0" w:space="0" w:color="auto"/>
        <w:bottom w:val="none" w:sz="0" w:space="0" w:color="auto"/>
        <w:right w:val="none" w:sz="0" w:space="0" w:color="auto"/>
      </w:divBdr>
    </w:div>
    <w:div w:id="1780954580">
      <w:bodyDiv w:val="1"/>
      <w:marLeft w:val="0"/>
      <w:marRight w:val="0"/>
      <w:marTop w:val="0"/>
      <w:marBottom w:val="0"/>
      <w:divBdr>
        <w:top w:val="none" w:sz="0" w:space="0" w:color="auto"/>
        <w:left w:val="none" w:sz="0" w:space="0" w:color="auto"/>
        <w:bottom w:val="none" w:sz="0" w:space="0" w:color="auto"/>
        <w:right w:val="none" w:sz="0" w:space="0" w:color="auto"/>
      </w:divBdr>
    </w:div>
    <w:div w:id="1784108641">
      <w:bodyDiv w:val="1"/>
      <w:marLeft w:val="0"/>
      <w:marRight w:val="0"/>
      <w:marTop w:val="0"/>
      <w:marBottom w:val="0"/>
      <w:divBdr>
        <w:top w:val="none" w:sz="0" w:space="0" w:color="auto"/>
        <w:left w:val="none" w:sz="0" w:space="0" w:color="auto"/>
        <w:bottom w:val="none" w:sz="0" w:space="0" w:color="auto"/>
        <w:right w:val="none" w:sz="0" w:space="0" w:color="auto"/>
      </w:divBdr>
    </w:div>
    <w:div w:id="1785615034">
      <w:bodyDiv w:val="1"/>
      <w:marLeft w:val="0"/>
      <w:marRight w:val="0"/>
      <w:marTop w:val="0"/>
      <w:marBottom w:val="0"/>
      <w:divBdr>
        <w:top w:val="none" w:sz="0" w:space="0" w:color="auto"/>
        <w:left w:val="none" w:sz="0" w:space="0" w:color="auto"/>
        <w:bottom w:val="none" w:sz="0" w:space="0" w:color="auto"/>
        <w:right w:val="none" w:sz="0" w:space="0" w:color="auto"/>
      </w:divBdr>
    </w:div>
    <w:div w:id="1797142754">
      <w:bodyDiv w:val="1"/>
      <w:marLeft w:val="0"/>
      <w:marRight w:val="0"/>
      <w:marTop w:val="0"/>
      <w:marBottom w:val="0"/>
      <w:divBdr>
        <w:top w:val="none" w:sz="0" w:space="0" w:color="auto"/>
        <w:left w:val="none" w:sz="0" w:space="0" w:color="auto"/>
        <w:bottom w:val="none" w:sz="0" w:space="0" w:color="auto"/>
        <w:right w:val="none" w:sz="0" w:space="0" w:color="auto"/>
      </w:divBdr>
    </w:div>
    <w:div w:id="1805460387">
      <w:bodyDiv w:val="1"/>
      <w:marLeft w:val="0"/>
      <w:marRight w:val="0"/>
      <w:marTop w:val="0"/>
      <w:marBottom w:val="0"/>
      <w:divBdr>
        <w:top w:val="none" w:sz="0" w:space="0" w:color="auto"/>
        <w:left w:val="none" w:sz="0" w:space="0" w:color="auto"/>
        <w:bottom w:val="none" w:sz="0" w:space="0" w:color="auto"/>
        <w:right w:val="none" w:sz="0" w:space="0" w:color="auto"/>
      </w:divBdr>
    </w:div>
    <w:div w:id="1815754921">
      <w:bodyDiv w:val="1"/>
      <w:marLeft w:val="0"/>
      <w:marRight w:val="0"/>
      <w:marTop w:val="0"/>
      <w:marBottom w:val="0"/>
      <w:divBdr>
        <w:top w:val="none" w:sz="0" w:space="0" w:color="auto"/>
        <w:left w:val="none" w:sz="0" w:space="0" w:color="auto"/>
        <w:bottom w:val="none" w:sz="0" w:space="0" w:color="auto"/>
        <w:right w:val="none" w:sz="0" w:space="0" w:color="auto"/>
      </w:divBdr>
    </w:div>
    <w:div w:id="1816296231">
      <w:bodyDiv w:val="1"/>
      <w:marLeft w:val="0"/>
      <w:marRight w:val="0"/>
      <w:marTop w:val="0"/>
      <w:marBottom w:val="0"/>
      <w:divBdr>
        <w:top w:val="none" w:sz="0" w:space="0" w:color="auto"/>
        <w:left w:val="none" w:sz="0" w:space="0" w:color="auto"/>
        <w:bottom w:val="none" w:sz="0" w:space="0" w:color="auto"/>
        <w:right w:val="none" w:sz="0" w:space="0" w:color="auto"/>
      </w:divBdr>
    </w:div>
    <w:div w:id="1820538149">
      <w:bodyDiv w:val="1"/>
      <w:marLeft w:val="0"/>
      <w:marRight w:val="0"/>
      <w:marTop w:val="0"/>
      <w:marBottom w:val="0"/>
      <w:divBdr>
        <w:top w:val="none" w:sz="0" w:space="0" w:color="auto"/>
        <w:left w:val="none" w:sz="0" w:space="0" w:color="auto"/>
        <w:bottom w:val="none" w:sz="0" w:space="0" w:color="auto"/>
        <w:right w:val="none" w:sz="0" w:space="0" w:color="auto"/>
      </w:divBdr>
    </w:div>
    <w:div w:id="1825244097">
      <w:bodyDiv w:val="1"/>
      <w:marLeft w:val="0"/>
      <w:marRight w:val="0"/>
      <w:marTop w:val="0"/>
      <w:marBottom w:val="0"/>
      <w:divBdr>
        <w:top w:val="none" w:sz="0" w:space="0" w:color="auto"/>
        <w:left w:val="none" w:sz="0" w:space="0" w:color="auto"/>
        <w:bottom w:val="none" w:sz="0" w:space="0" w:color="auto"/>
        <w:right w:val="none" w:sz="0" w:space="0" w:color="auto"/>
      </w:divBdr>
    </w:div>
    <w:div w:id="1841655933">
      <w:bodyDiv w:val="1"/>
      <w:marLeft w:val="0"/>
      <w:marRight w:val="0"/>
      <w:marTop w:val="0"/>
      <w:marBottom w:val="0"/>
      <w:divBdr>
        <w:top w:val="none" w:sz="0" w:space="0" w:color="auto"/>
        <w:left w:val="none" w:sz="0" w:space="0" w:color="auto"/>
        <w:bottom w:val="none" w:sz="0" w:space="0" w:color="auto"/>
        <w:right w:val="none" w:sz="0" w:space="0" w:color="auto"/>
      </w:divBdr>
    </w:div>
    <w:div w:id="1846631341">
      <w:bodyDiv w:val="1"/>
      <w:marLeft w:val="0"/>
      <w:marRight w:val="0"/>
      <w:marTop w:val="0"/>
      <w:marBottom w:val="0"/>
      <w:divBdr>
        <w:top w:val="none" w:sz="0" w:space="0" w:color="auto"/>
        <w:left w:val="none" w:sz="0" w:space="0" w:color="auto"/>
        <w:bottom w:val="none" w:sz="0" w:space="0" w:color="auto"/>
        <w:right w:val="none" w:sz="0" w:space="0" w:color="auto"/>
      </w:divBdr>
    </w:div>
    <w:div w:id="1848517432">
      <w:bodyDiv w:val="1"/>
      <w:marLeft w:val="0"/>
      <w:marRight w:val="0"/>
      <w:marTop w:val="0"/>
      <w:marBottom w:val="0"/>
      <w:divBdr>
        <w:top w:val="none" w:sz="0" w:space="0" w:color="auto"/>
        <w:left w:val="none" w:sz="0" w:space="0" w:color="auto"/>
        <w:bottom w:val="none" w:sz="0" w:space="0" w:color="auto"/>
        <w:right w:val="none" w:sz="0" w:space="0" w:color="auto"/>
      </w:divBdr>
    </w:div>
    <w:div w:id="1849098243">
      <w:bodyDiv w:val="1"/>
      <w:marLeft w:val="0"/>
      <w:marRight w:val="0"/>
      <w:marTop w:val="0"/>
      <w:marBottom w:val="0"/>
      <w:divBdr>
        <w:top w:val="none" w:sz="0" w:space="0" w:color="auto"/>
        <w:left w:val="none" w:sz="0" w:space="0" w:color="auto"/>
        <w:bottom w:val="none" w:sz="0" w:space="0" w:color="auto"/>
        <w:right w:val="none" w:sz="0" w:space="0" w:color="auto"/>
      </w:divBdr>
    </w:div>
    <w:div w:id="1866481422">
      <w:bodyDiv w:val="1"/>
      <w:marLeft w:val="0"/>
      <w:marRight w:val="0"/>
      <w:marTop w:val="0"/>
      <w:marBottom w:val="0"/>
      <w:divBdr>
        <w:top w:val="none" w:sz="0" w:space="0" w:color="auto"/>
        <w:left w:val="none" w:sz="0" w:space="0" w:color="auto"/>
        <w:bottom w:val="none" w:sz="0" w:space="0" w:color="auto"/>
        <w:right w:val="none" w:sz="0" w:space="0" w:color="auto"/>
      </w:divBdr>
    </w:div>
    <w:div w:id="1875384671">
      <w:bodyDiv w:val="1"/>
      <w:marLeft w:val="0"/>
      <w:marRight w:val="0"/>
      <w:marTop w:val="0"/>
      <w:marBottom w:val="0"/>
      <w:divBdr>
        <w:top w:val="none" w:sz="0" w:space="0" w:color="auto"/>
        <w:left w:val="none" w:sz="0" w:space="0" w:color="auto"/>
        <w:bottom w:val="none" w:sz="0" w:space="0" w:color="auto"/>
        <w:right w:val="none" w:sz="0" w:space="0" w:color="auto"/>
      </w:divBdr>
    </w:div>
    <w:div w:id="1898976579">
      <w:bodyDiv w:val="1"/>
      <w:marLeft w:val="0"/>
      <w:marRight w:val="0"/>
      <w:marTop w:val="0"/>
      <w:marBottom w:val="0"/>
      <w:divBdr>
        <w:top w:val="none" w:sz="0" w:space="0" w:color="auto"/>
        <w:left w:val="none" w:sz="0" w:space="0" w:color="auto"/>
        <w:bottom w:val="none" w:sz="0" w:space="0" w:color="auto"/>
        <w:right w:val="none" w:sz="0" w:space="0" w:color="auto"/>
      </w:divBdr>
    </w:div>
    <w:div w:id="1913932505">
      <w:bodyDiv w:val="1"/>
      <w:marLeft w:val="0"/>
      <w:marRight w:val="0"/>
      <w:marTop w:val="0"/>
      <w:marBottom w:val="0"/>
      <w:divBdr>
        <w:top w:val="none" w:sz="0" w:space="0" w:color="auto"/>
        <w:left w:val="none" w:sz="0" w:space="0" w:color="auto"/>
        <w:bottom w:val="none" w:sz="0" w:space="0" w:color="auto"/>
        <w:right w:val="none" w:sz="0" w:space="0" w:color="auto"/>
      </w:divBdr>
    </w:div>
    <w:div w:id="1917980938">
      <w:bodyDiv w:val="1"/>
      <w:marLeft w:val="0"/>
      <w:marRight w:val="0"/>
      <w:marTop w:val="0"/>
      <w:marBottom w:val="0"/>
      <w:divBdr>
        <w:top w:val="none" w:sz="0" w:space="0" w:color="auto"/>
        <w:left w:val="none" w:sz="0" w:space="0" w:color="auto"/>
        <w:bottom w:val="none" w:sz="0" w:space="0" w:color="auto"/>
        <w:right w:val="none" w:sz="0" w:space="0" w:color="auto"/>
      </w:divBdr>
    </w:div>
    <w:div w:id="1919752163">
      <w:bodyDiv w:val="1"/>
      <w:marLeft w:val="0"/>
      <w:marRight w:val="0"/>
      <w:marTop w:val="0"/>
      <w:marBottom w:val="0"/>
      <w:divBdr>
        <w:top w:val="none" w:sz="0" w:space="0" w:color="auto"/>
        <w:left w:val="none" w:sz="0" w:space="0" w:color="auto"/>
        <w:bottom w:val="none" w:sz="0" w:space="0" w:color="auto"/>
        <w:right w:val="none" w:sz="0" w:space="0" w:color="auto"/>
      </w:divBdr>
    </w:div>
    <w:div w:id="1920013943">
      <w:bodyDiv w:val="1"/>
      <w:marLeft w:val="0"/>
      <w:marRight w:val="0"/>
      <w:marTop w:val="0"/>
      <w:marBottom w:val="0"/>
      <w:divBdr>
        <w:top w:val="none" w:sz="0" w:space="0" w:color="auto"/>
        <w:left w:val="none" w:sz="0" w:space="0" w:color="auto"/>
        <w:bottom w:val="none" w:sz="0" w:space="0" w:color="auto"/>
        <w:right w:val="none" w:sz="0" w:space="0" w:color="auto"/>
      </w:divBdr>
    </w:div>
    <w:div w:id="1929924150">
      <w:bodyDiv w:val="1"/>
      <w:marLeft w:val="0"/>
      <w:marRight w:val="0"/>
      <w:marTop w:val="0"/>
      <w:marBottom w:val="0"/>
      <w:divBdr>
        <w:top w:val="none" w:sz="0" w:space="0" w:color="auto"/>
        <w:left w:val="none" w:sz="0" w:space="0" w:color="auto"/>
        <w:bottom w:val="none" w:sz="0" w:space="0" w:color="auto"/>
        <w:right w:val="none" w:sz="0" w:space="0" w:color="auto"/>
      </w:divBdr>
    </w:div>
    <w:div w:id="1934052417">
      <w:bodyDiv w:val="1"/>
      <w:marLeft w:val="0"/>
      <w:marRight w:val="0"/>
      <w:marTop w:val="0"/>
      <w:marBottom w:val="0"/>
      <w:divBdr>
        <w:top w:val="none" w:sz="0" w:space="0" w:color="auto"/>
        <w:left w:val="none" w:sz="0" w:space="0" w:color="auto"/>
        <w:bottom w:val="none" w:sz="0" w:space="0" w:color="auto"/>
        <w:right w:val="none" w:sz="0" w:space="0" w:color="auto"/>
      </w:divBdr>
    </w:div>
    <w:div w:id="1936590096">
      <w:bodyDiv w:val="1"/>
      <w:marLeft w:val="0"/>
      <w:marRight w:val="0"/>
      <w:marTop w:val="0"/>
      <w:marBottom w:val="0"/>
      <w:divBdr>
        <w:top w:val="none" w:sz="0" w:space="0" w:color="auto"/>
        <w:left w:val="none" w:sz="0" w:space="0" w:color="auto"/>
        <w:bottom w:val="none" w:sz="0" w:space="0" w:color="auto"/>
        <w:right w:val="none" w:sz="0" w:space="0" w:color="auto"/>
      </w:divBdr>
    </w:div>
    <w:div w:id="1937900292">
      <w:bodyDiv w:val="1"/>
      <w:marLeft w:val="0"/>
      <w:marRight w:val="0"/>
      <w:marTop w:val="0"/>
      <w:marBottom w:val="0"/>
      <w:divBdr>
        <w:top w:val="none" w:sz="0" w:space="0" w:color="auto"/>
        <w:left w:val="none" w:sz="0" w:space="0" w:color="auto"/>
        <w:bottom w:val="none" w:sz="0" w:space="0" w:color="auto"/>
        <w:right w:val="none" w:sz="0" w:space="0" w:color="auto"/>
      </w:divBdr>
    </w:div>
    <w:div w:id="1939215047">
      <w:bodyDiv w:val="1"/>
      <w:marLeft w:val="0"/>
      <w:marRight w:val="0"/>
      <w:marTop w:val="0"/>
      <w:marBottom w:val="0"/>
      <w:divBdr>
        <w:top w:val="none" w:sz="0" w:space="0" w:color="auto"/>
        <w:left w:val="none" w:sz="0" w:space="0" w:color="auto"/>
        <w:bottom w:val="none" w:sz="0" w:space="0" w:color="auto"/>
        <w:right w:val="none" w:sz="0" w:space="0" w:color="auto"/>
      </w:divBdr>
    </w:div>
    <w:div w:id="1941060331">
      <w:bodyDiv w:val="1"/>
      <w:marLeft w:val="0"/>
      <w:marRight w:val="0"/>
      <w:marTop w:val="0"/>
      <w:marBottom w:val="0"/>
      <w:divBdr>
        <w:top w:val="none" w:sz="0" w:space="0" w:color="auto"/>
        <w:left w:val="none" w:sz="0" w:space="0" w:color="auto"/>
        <w:bottom w:val="none" w:sz="0" w:space="0" w:color="auto"/>
        <w:right w:val="none" w:sz="0" w:space="0" w:color="auto"/>
      </w:divBdr>
    </w:div>
    <w:div w:id="1947275211">
      <w:bodyDiv w:val="1"/>
      <w:marLeft w:val="0"/>
      <w:marRight w:val="0"/>
      <w:marTop w:val="0"/>
      <w:marBottom w:val="0"/>
      <w:divBdr>
        <w:top w:val="none" w:sz="0" w:space="0" w:color="auto"/>
        <w:left w:val="none" w:sz="0" w:space="0" w:color="auto"/>
        <w:bottom w:val="none" w:sz="0" w:space="0" w:color="auto"/>
        <w:right w:val="none" w:sz="0" w:space="0" w:color="auto"/>
      </w:divBdr>
    </w:div>
    <w:div w:id="1952320325">
      <w:bodyDiv w:val="1"/>
      <w:marLeft w:val="0"/>
      <w:marRight w:val="0"/>
      <w:marTop w:val="0"/>
      <w:marBottom w:val="0"/>
      <w:divBdr>
        <w:top w:val="none" w:sz="0" w:space="0" w:color="auto"/>
        <w:left w:val="none" w:sz="0" w:space="0" w:color="auto"/>
        <w:bottom w:val="none" w:sz="0" w:space="0" w:color="auto"/>
        <w:right w:val="none" w:sz="0" w:space="0" w:color="auto"/>
      </w:divBdr>
    </w:div>
    <w:div w:id="1955791870">
      <w:bodyDiv w:val="1"/>
      <w:marLeft w:val="0"/>
      <w:marRight w:val="0"/>
      <w:marTop w:val="0"/>
      <w:marBottom w:val="0"/>
      <w:divBdr>
        <w:top w:val="none" w:sz="0" w:space="0" w:color="auto"/>
        <w:left w:val="none" w:sz="0" w:space="0" w:color="auto"/>
        <w:bottom w:val="none" w:sz="0" w:space="0" w:color="auto"/>
        <w:right w:val="none" w:sz="0" w:space="0" w:color="auto"/>
      </w:divBdr>
    </w:div>
    <w:div w:id="1989280345">
      <w:bodyDiv w:val="1"/>
      <w:marLeft w:val="0"/>
      <w:marRight w:val="0"/>
      <w:marTop w:val="0"/>
      <w:marBottom w:val="0"/>
      <w:divBdr>
        <w:top w:val="none" w:sz="0" w:space="0" w:color="auto"/>
        <w:left w:val="none" w:sz="0" w:space="0" w:color="auto"/>
        <w:bottom w:val="none" w:sz="0" w:space="0" w:color="auto"/>
        <w:right w:val="none" w:sz="0" w:space="0" w:color="auto"/>
      </w:divBdr>
    </w:div>
    <w:div w:id="1997688030">
      <w:bodyDiv w:val="1"/>
      <w:marLeft w:val="0"/>
      <w:marRight w:val="0"/>
      <w:marTop w:val="0"/>
      <w:marBottom w:val="0"/>
      <w:divBdr>
        <w:top w:val="none" w:sz="0" w:space="0" w:color="auto"/>
        <w:left w:val="none" w:sz="0" w:space="0" w:color="auto"/>
        <w:bottom w:val="none" w:sz="0" w:space="0" w:color="auto"/>
        <w:right w:val="none" w:sz="0" w:space="0" w:color="auto"/>
      </w:divBdr>
    </w:div>
    <w:div w:id="2007708858">
      <w:bodyDiv w:val="1"/>
      <w:marLeft w:val="0"/>
      <w:marRight w:val="0"/>
      <w:marTop w:val="0"/>
      <w:marBottom w:val="0"/>
      <w:divBdr>
        <w:top w:val="none" w:sz="0" w:space="0" w:color="auto"/>
        <w:left w:val="none" w:sz="0" w:space="0" w:color="auto"/>
        <w:bottom w:val="none" w:sz="0" w:space="0" w:color="auto"/>
        <w:right w:val="none" w:sz="0" w:space="0" w:color="auto"/>
      </w:divBdr>
    </w:div>
    <w:div w:id="2011104254">
      <w:bodyDiv w:val="1"/>
      <w:marLeft w:val="0"/>
      <w:marRight w:val="0"/>
      <w:marTop w:val="0"/>
      <w:marBottom w:val="0"/>
      <w:divBdr>
        <w:top w:val="none" w:sz="0" w:space="0" w:color="auto"/>
        <w:left w:val="none" w:sz="0" w:space="0" w:color="auto"/>
        <w:bottom w:val="none" w:sz="0" w:space="0" w:color="auto"/>
        <w:right w:val="none" w:sz="0" w:space="0" w:color="auto"/>
      </w:divBdr>
    </w:div>
    <w:div w:id="2022663000">
      <w:bodyDiv w:val="1"/>
      <w:marLeft w:val="0"/>
      <w:marRight w:val="0"/>
      <w:marTop w:val="0"/>
      <w:marBottom w:val="0"/>
      <w:divBdr>
        <w:top w:val="none" w:sz="0" w:space="0" w:color="auto"/>
        <w:left w:val="none" w:sz="0" w:space="0" w:color="auto"/>
        <w:bottom w:val="none" w:sz="0" w:space="0" w:color="auto"/>
        <w:right w:val="none" w:sz="0" w:space="0" w:color="auto"/>
      </w:divBdr>
    </w:div>
    <w:div w:id="2024740614">
      <w:bodyDiv w:val="1"/>
      <w:marLeft w:val="0"/>
      <w:marRight w:val="0"/>
      <w:marTop w:val="0"/>
      <w:marBottom w:val="0"/>
      <w:divBdr>
        <w:top w:val="none" w:sz="0" w:space="0" w:color="auto"/>
        <w:left w:val="none" w:sz="0" w:space="0" w:color="auto"/>
        <w:bottom w:val="none" w:sz="0" w:space="0" w:color="auto"/>
        <w:right w:val="none" w:sz="0" w:space="0" w:color="auto"/>
      </w:divBdr>
    </w:div>
    <w:div w:id="2027828219">
      <w:bodyDiv w:val="1"/>
      <w:marLeft w:val="0"/>
      <w:marRight w:val="0"/>
      <w:marTop w:val="0"/>
      <w:marBottom w:val="0"/>
      <w:divBdr>
        <w:top w:val="none" w:sz="0" w:space="0" w:color="auto"/>
        <w:left w:val="none" w:sz="0" w:space="0" w:color="auto"/>
        <w:bottom w:val="none" w:sz="0" w:space="0" w:color="auto"/>
        <w:right w:val="none" w:sz="0" w:space="0" w:color="auto"/>
      </w:divBdr>
    </w:div>
    <w:div w:id="2030568581">
      <w:bodyDiv w:val="1"/>
      <w:marLeft w:val="0"/>
      <w:marRight w:val="0"/>
      <w:marTop w:val="0"/>
      <w:marBottom w:val="0"/>
      <w:divBdr>
        <w:top w:val="none" w:sz="0" w:space="0" w:color="auto"/>
        <w:left w:val="none" w:sz="0" w:space="0" w:color="auto"/>
        <w:bottom w:val="none" w:sz="0" w:space="0" w:color="auto"/>
        <w:right w:val="none" w:sz="0" w:space="0" w:color="auto"/>
      </w:divBdr>
    </w:div>
    <w:div w:id="2038464449">
      <w:bodyDiv w:val="1"/>
      <w:marLeft w:val="0"/>
      <w:marRight w:val="0"/>
      <w:marTop w:val="0"/>
      <w:marBottom w:val="0"/>
      <w:divBdr>
        <w:top w:val="none" w:sz="0" w:space="0" w:color="auto"/>
        <w:left w:val="none" w:sz="0" w:space="0" w:color="auto"/>
        <w:bottom w:val="none" w:sz="0" w:space="0" w:color="auto"/>
        <w:right w:val="none" w:sz="0" w:space="0" w:color="auto"/>
      </w:divBdr>
    </w:div>
    <w:div w:id="2050493167">
      <w:bodyDiv w:val="1"/>
      <w:marLeft w:val="0"/>
      <w:marRight w:val="0"/>
      <w:marTop w:val="0"/>
      <w:marBottom w:val="0"/>
      <w:divBdr>
        <w:top w:val="none" w:sz="0" w:space="0" w:color="auto"/>
        <w:left w:val="none" w:sz="0" w:space="0" w:color="auto"/>
        <w:bottom w:val="none" w:sz="0" w:space="0" w:color="auto"/>
        <w:right w:val="none" w:sz="0" w:space="0" w:color="auto"/>
      </w:divBdr>
    </w:div>
    <w:div w:id="2065329442">
      <w:bodyDiv w:val="1"/>
      <w:marLeft w:val="0"/>
      <w:marRight w:val="0"/>
      <w:marTop w:val="0"/>
      <w:marBottom w:val="0"/>
      <w:divBdr>
        <w:top w:val="none" w:sz="0" w:space="0" w:color="auto"/>
        <w:left w:val="none" w:sz="0" w:space="0" w:color="auto"/>
        <w:bottom w:val="none" w:sz="0" w:space="0" w:color="auto"/>
        <w:right w:val="none" w:sz="0" w:space="0" w:color="auto"/>
      </w:divBdr>
    </w:div>
    <w:div w:id="2066030665">
      <w:bodyDiv w:val="1"/>
      <w:marLeft w:val="0"/>
      <w:marRight w:val="0"/>
      <w:marTop w:val="0"/>
      <w:marBottom w:val="0"/>
      <w:divBdr>
        <w:top w:val="none" w:sz="0" w:space="0" w:color="auto"/>
        <w:left w:val="none" w:sz="0" w:space="0" w:color="auto"/>
        <w:bottom w:val="none" w:sz="0" w:space="0" w:color="auto"/>
        <w:right w:val="none" w:sz="0" w:space="0" w:color="auto"/>
      </w:divBdr>
    </w:div>
    <w:div w:id="2074502189">
      <w:bodyDiv w:val="1"/>
      <w:marLeft w:val="0"/>
      <w:marRight w:val="0"/>
      <w:marTop w:val="0"/>
      <w:marBottom w:val="0"/>
      <w:divBdr>
        <w:top w:val="none" w:sz="0" w:space="0" w:color="auto"/>
        <w:left w:val="none" w:sz="0" w:space="0" w:color="auto"/>
        <w:bottom w:val="none" w:sz="0" w:space="0" w:color="auto"/>
        <w:right w:val="none" w:sz="0" w:space="0" w:color="auto"/>
      </w:divBdr>
    </w:div>
    <w:div w:id="2076663920">
      <w:bodyDiv w:val="1"/>
      <w:marLeft w:val="0"/>
      <w:marRight w:val="0"/>
      <w:marTop w:val="0"/>
      <w:marBottom w:val="0"/>
      <w:divBdr>
        <w:top w:val="none" w:sz="0" w:space="0" w:color="auto"/>
        <w:left w:val="none" w:sz="0" w:space="0" w:color="auto"/>
        <w:bottom w:val="none" w:sz="0" w:space="0" w:color="auto"/>
        <w:right w:val="none" w:sz="0" w:space="0" w:color="auto"/>
      </w:divBdr>
    </w:div>
    <w:div w:id="2079667178">
      <w:bodyDiv w:val="1"/>
      <w:marLeft w:val="0"/>
      <w:marRight w:val="0"/>
      <w:marTop w:val="0"/>
      <w:marBottom w:val="0"/>
      <w:divBdr>
        <w:top w:val="none" w:sz="0" w:space="0" w:color="auto"/>
        <w:left w:val="none" w:sz="0" w:space="0" w:color="auto"/>
        <w:bottom w:val="none" w:sz="0" w:space="0" w:color="auto"/>
        <w:right w:val="none" w:sz="0" w:space="0" w:color="auto"/>
      </w:divBdr>
    </w:div>
    <w:div w:id="2093499805">
      <w:bodyDiv w:val="1"/>
      <w:marLeft w:val="0"/>
      <w:marRight w:val="0"/>
      <w:marTop w:val="0"/>
      <w:marBottom w:val="0"/>
      <w:divBdr>
        <w:top w:val="none" w:sz="0" w:space="0" w:color="auto"/>
        <w:left w:val="none" w:sz="0" w:space="0" w:color="auto"/>
        <w:bottom w:val="none" w:sz="0" w:space="0" w:color="auto"/>
        <w:right w:val="none" w:sz="0" w:space="0" w:color="auto"/>
      </w:divBdr>
    </w:div>
    <w:div w:id="2093776140">
      <w:bodyDiv w:val="1"/>
      <w:marLeft w:val="0"/>
      <w:marRight w:val="0"/>
      <w:marTop w:val="0"/>
      <w:marBottom w:val="0"/>
      <w:divBdr>
        <w:top w:val="none" w:sz="0" w:space="0" w:color="auto"/>
        <w:left w:val="none" w:sz="0" w:space="0" w:color="auto"/>
        <w:bottom w:val="none" w:sz="0" w:space="0" w:color="auto"/>
        <w:right w:val="none" w:sz="0" w:space="0" w:color="auto"/>
      </w:divBdr>
    </w:div>
    <w:div w:id="2096632037">
      <w:bodyDiv w:val="1"/>
      <w:marLeft w:val="0"/>
      <w:marRight w:val="0"/>
      <w:marTop w:val="0"/>
      <w:marBottom w:val="0"/>
      <w:divBdr>
        <w:top w:val="none" w:sz="0" w:space="0" w:color="auto"/>
        <w:left w:val="none" w:sz="0" w:space="0" w:color="auto"/>
        <w:bottom w:val="none" w:sz="0" w:space="0" w:color="auto"/>
        <w:right w:val="none" w:sz="0" w:space="0" w:color="auto"/>
      </w:divBdr>
    </w:div>
    <w:div w:id="2099210073">
      <w:bodyDiv w:val="1"/>
      <w:marLeft w:val="0"/>
      <w:marRight w:val="0"/>
      <w:marTop w:val="0"/>
      <w:marBottom w:val="0"/>
      <w:divBdr>
        <w:top w:val="none" w:sz="0" w:space="0" w:color="auto"/>
        <w:left w:val="none" w:sz="0" w:space="0" w:color="auto"/>
        <w:bottom w:val="none" w:sz="0" w:space="0" w:color="auto"/>
        <w:right w:val="none" w:sz="0" w:space="0" w:color="auto"/>
      </w:divBdr>
    </w:div>
    <w:div w:id="2106535009">
      <w:bodyDiv w:val="1"/>
      <w:marLeft w:val="0"/>
      <w:marRight w:val="0"/>
      <w:marTop w:val="0"/>
      <w:marBottom w:val="0"/>
      <w:divBdr>
        <w:top w:val="none" w:sz="0" w:space="0" w:color="auto"/>
        <w:left w:val="none" w:sz="0" w:space="0" w:color="auto"/>
        <w:bottom w:val="none" w:sz="0" w:space="0" w:color="auto"/>
        <w:right w:val="none" w:sz="0" w:space="0" w:color="auto"/>
      </w:divBdr>
    </w:div>
    <w:div w:id="2109230848">
      <w:bodyDiv w:val="1"/>
      <w:marLeft w:val="0"/>
      <w:marRight w:val="0"/>
      <w:marTop w:val="0"/>
      <w:marBottom w:val="0"/>
      <w:divBdr>
        <w:top w:val="none" w:sz="0" w:space="0" w:color="auto"/>
        <w:left w:val="none" w:sz="0" w:space="0" w:color="auto"/>
        <w:bottom w:val="none" w:sz="0" w:space="0" w:color="auto"/>
        <w:right w:val="none" w:sz="0" w:space="0" w:color="auto"/>
      </w:divBdr>
    </w:div>
    <w:div w:id="2109422560">
      <w:bodyDiv w:val="1"/>
      <w:marLeft w:val="0"/>
      <w:marRight w:val="0"/>
      <w:marTop w:val="0"/>
      <w:marBottom w:val="0"/>
      <w:divBdr>
        <w:top w:val="none" w:sz="0" w:space="0" w:color="auto"/>
        <w:left w:val="none" w:sz="0" w:space="0" w:color="auto"/>
        <w:bottom w:val="none" w:sz="0" w:space="0" w:color="auto"/>
        <w:right w:val="none" w:sz="0" w:space="0" w:color="auto"/>
      </w:divBdr>
    </w:div>
    <w:div w:id="2113236671">
      <w:bodyDiv w:val="1"/>
      <w:marLeft w:val="0"/>
      <w:marRight w:val="0"/>
      <w:marTop w:val="0"/>
      <w:marBottom w:val="0"/>
      <w:divBdr>
        <w:top w:val="none" w:sz="0" w:space="0" w:color="auto"/>
        <w:left w:val="none" w:sz="0" w:space="0" w:color="auto"/>
        <w:bottom w:val="none" w:sz="0" w:space="0" w:color="auto"/>
        <w:right w:val="none" w:sz="0" w:space="0" w:color="auto"/>
      </w:divBdr>
    </w:div>
    <w:div w:id="2125685529">
      <w:bodyDiv w:val="1"/>
      <w:marLeft w:val="0"/>
      <w:marRight w:val="0"/>
      <w:marTop w:val="0"/>
      <w:marBottom w:val="0"/>
      <w:divBdr>
        <w:top w:val="none" w:sz="0" w:space="0" w:color="auto"/>
        <w:left w:val="none" w:sz="0" w:space="0" w:color="auto"/>
        <w:bottom w:val="none" w:sz="0" w:space="0" w:color="auto"/>
        <w:right w:val="none" w:sz="0" w:space="0" w:color="auto"/>
      </w:divBdr>
    </w:div>
    <w:div w:id="21302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luatvietnam.vn/khoa-hoc/thong-tu-28-2012-tt-bkhcn-bo-khoa-hoc-va-cong-nghe-76520-d1.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uatvietnam.vn/khoa-hoc/thong-tu-28-2012-tt-bkhcn-bo-khoa-hoc-va-cong-nghe-76520-d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s://luatvietnam.vn/khoa-hoc/thong-tu-28-2012-tt-bkhcn-bo-khoa-hoc-va-cong-nghe-76520-d1.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luatvietnam.vn/khoa-hoc/thong-tu-28-2012-tt-bkhcn-bo-khoa-hoc-va-cong-nghe-76520-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24</Pages>
  <Words>4288</Words>
  <Characters>24444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dc:creator>
  <cp:lastModifiedBy>THANH GIONG</cp:lastModifiedBy>
  <cp:revision>68</cp:revision>
  <cp:lastPrinted>2024-01-25T09:16:00Z</cp:lastPrinted>
  <dcterms:created xsi:type="dcterms:W3CDTF">2026-04-01T08:41:00Z</dcterms:created>
  <dcterms:modified xsi:type="dcterms:W3CDTF">2026-06-12T06:30:00Z</dcterms:modified>
</cp:coreProperties>
</file>